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CBD4C" w14:textId="136DEEF7" w:rsidR="00AB4589" w:rsidRPr="00813473" w:rsidRDefault="00AB4589" w:rsidP="00AB4589">
      <w:pPr>
        <w:autoSpaceDE/>
        <w:autoSpaceDN/>
        <w:adjustRightInd/>
        <w:spacing w:after="0"/>
        <w:jc w:val="left"/>
        <w:rPr>
          <w:rFonts w:cs="Arial"/>
          <w:highlight w:val="yellow"/>
        </w:rPr>
        <w:sectPr w:rsidR="00AB4589" w:rsidRPr="00813473" w:rsidSect="00AB4589">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813473">
        <w:rPr>
          <w:rFonts w:cs="Arial"/>
          <w:noProof/>
          <w:highlight w:val="yellow"/>
          <w:lang w:eastAsia="en-GB"/>
        </w:rPr>
        <mc:AlternateContent>
          <mc:Choice Requires="wps">
            <w:drawing>
              <wp:anchor distT="0" distB="0" distL="114300" distR="114300" simplePos="0" relativeHeight="251658240" behindDoc="0" locked="0" layoutInCell="1" allowOverlap="1" wp14:anchorId="406966CB" wp14:editId="7B753A17">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2C9FE" w14:textId="77777777" w:rsidR="00C61025" w:rsidRDefault="00C61025" w:rsidP="00AB4589">
                            <w:pPr>
                              <w:spacing w:after="0"/>
                              <w:ind w:right="-46"/>
                              <w:jc w:val="left"/>
                              <w:rPr>
                                <w:rFonts w:cs="Arial"/>
                                <w:b/>
                                <w:bCs/>
                                <w:sz w:val="52"/>
                                <w:szCs w:val="52"/>
                              </w:rPr>
                            </w:pPr>
                          </w:p>
                          <w:p w14:paraId="6C9C084A" w14:textId="77777777" w:rsidR="00C61025" w:rsidRDefault="00C61025" w:rsidP="00AB4589">
                            <w:pPr>
                              <w:spacing w:after="0"/>
                              <w:ind w:right="-46"/>
                              <w:jc w:val="left"/>
                              <w:rPr>
                                <w:rFonts w:cs="Arial"/>
                                <w:b/>
                                <w:bCs/>
                                <w:sz w:val="52"/>
                                <w:szCs w:val="52"/>
                              </w:rPr>
                            </w:pPr>
                            <w:r>
                              <w:rPr>
                                <w:rFonts w:cs="Arial"/>
                                <w:b/>
                                <w:bCs/>
                                <w:sz w:val="52"/>
                                <w:szCs w:val="52"/>
                              </w:rPr>
                              <w:t>Money Matters</w:t>
                            </w:r>
                          </w:p>
                          <w:p w14:paraId="38F6DD5E" w14:textId="77777777" w:rsidR="00C61025" w:rsidRDefault="00C61025" w:rsidP="00AB4589">
                            <w:pPr>
                              <w:spacing w:after="0"/>
                              <w:ind w:right="-46"/>
                              <w:jc w:val="left"/>
                              <w:rPr>
                                <w:rFonts w:cs="Arial"/>
                                <w:b/>
                                <w:bCs/>
                                <w:sz w:val="52"/>
                                <w:szCs w:val="52"/>
                              </w:rPr>
                            </w:pPr>
                            <w:r>
                              <w:rPr>
                                <w:rFonts w:cs="Arial"/>
                                <w:b/>
                                <w:bCs/>
                                <w:sz w:val="52"/>
                                <w:szCs w:val="52"/>
                              </w:rPr>
                              <w:t>Financial Outlook for the County Council</w:t>
                            </w:r>
                          </w:p>
                          <w:p w14:paraId="71973AEF" w14:textId="77777777" w:rsidR="00C61025" w:rsidRDefault="00C61025" w:rsidP="00AB4589">
                            <w:pPr>
                              <w:spacing w:after="0"/>
                              <w:ind w:right="-46"/>
                              <w:jc w:val="left"/>
                              <w:rPr>
                                <w:rFonts w:cs="Arial"/>
                                <w:b/>
                                <w:bCs/>
                                <w:sz w:val="52"/>
                                <w:szCs w:val="52"/>
                              </w:rPr>
                            </w:pPr>
                            <w:r>
                              <w:rPr>
                                <w:rFonts w:cs="Arial"/>
                                <w:b/>
                                <w:bCs/>
                                <w:sz w:val="52"/>
                                <w:szCs w:val="52"/>
                              </w:rPr>
                              <w:t>Medium Term Financial Strategy &amp; Reserves as at 30</w:t>
                            </w:r>
                            <w:r w:rsidRPr="009C69DC">
                              <w:rPr>
                                <w:rFonts w:cs="Arial"/>
                                <w:b/>
                                <w:bCs/>
                                <w:sz w:val="52"/>
                                <w:szCs w:val="52"/>
                                <w:vertAlign w:val="superscript"/>
                              </w:rPr>
                              <w:t>th</w:t>
                            </w:r>
                            <w:r>
                              <w:rPr>
                                <w:rFonts w:cs="Arial"/>
                                <w:b/>
                                <w:bCs/>
                                <w:sz w:val="52"/>
                                <w:szCs w:val="52"/>
                              </w:rPr>
                              <w:t xml:space="preserve"> September 2019</w:t>
                            </w:r>
                          </w:p>
                          <w:p w14:paraId="51BCD038" w14:textId="77777777" w:rsidR="00C61025" w:rsidRPr="0037393E" w:rsidRDefault="00C61025" w:rsidP="00AB4589">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06966CB" id="_x0000_t202" coordsize="21600,21600" o:spt="202" path="m,l,21600r21600,l21600,xe">
                <v:stroke joinstyle="miter"/>
                <v:path gradientshapeok="t" o:connecttype="rect"/>
              </v:shapetype>
              <v:shape id="Text Box 4" o:spid="_x0000_s1026" type="#_x0000_t202" style="position:absolute;margin-left:-26.8pt;margin-top:462.2pt;width:522.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slgIAAHMFAAAOAAAAZHJzL2Uyb0RvYy54bWysVNtunDAQfa/Uf7D8TrjEyy4obJQsS1/S&#10;i5T0A7xgFqtgU9u7kFb9947N3pK8VG15sMx4fObMzPHc3I5di/ZMaS5FhsOrACMmSllxsc3w16fC&#10;W2CkDRUVbaVgGX5mGt8u37+7GfqURbKRbcUUAhCh06HPcGNMn/q+LhvWUX0leybgsJaqowZ+1dav&#10;FB0AvWv9KAhif5Cq6pUsmdZgzadDvHT4dc1K87muNTOozTBwM25Vbt3Y1V/e0HSraN/w8kCD/gWL&#10;jnIBQU9QOTUU7RR/A9XxUkkta3NVys6Xdc1L5nKAbMLgVTaPDe2ZywWKo/tTmfT/gy0/7b8oxKsM&#10;X2MkaActemKjQfdyRMRWZ+h1Ck6PPbiZEczQZZep7h9k+U0jIVcNFVt2p5QcGkYrYBfam/7F1QlH&#10;W5DN8FFWEIbujHRAY606WzooBgJ06NLzqTOWSgnGOCZBmMwwKuEsIvN4Frje+TQ9Xu+VNh+Y7JDd&#10;ZFhB6x083T9oY+nQ9OhiowlZ8LZ17W/FCwM4ThYIDlftmaXhuvkzCZL1Yr0gHonitUeCPPfuihXx&#10;4iKcz/LrfLXKw182bkjShlcVEzbMUVkh+bPOHTQ+aeKkLS1bXlk4S0mr7WbVKrSnoOzCfa7ocHJ2&#10;81/ScEWAXF6lFEYkuI8Sr4gXc48UZOYl82DhQcHvkzggCcmLlyk9cMH+PSU0ZDiZRbNJTWfSr3IL&#10;3Pc2N5p23MDsaHmX4cXJiaZWg2tRudYayttpf1EKS/9cCmj3sdFOsVakk1zNuBnd03BytmreyOoZ&#10;JKwkCAx0CnMPNo1UPzAaYIZkWH/fUcUwoqIEc4bNcbsy09DZ9YpvG7h1fiLwsh2bwxSyo+PyH/aX&#10;s3L5GwAA//8DAFBLAwQUAAYACAAAACEAjVd8iOAAAAAMAQAADwAAAGRycy9kb3ducmV2LnhtbEyP&#10;TU/DMAyG70j8h8hI3LakXTfR0nRCIK5MjA+JW9Z4bUXjVE22ln8/c4Kj7Uevn7fczq4XZxxD50lD&#10;slQgkGpvO2o0vL89L+5AhGjImt4TavjBANvq+qo0hfUTveJ5HxvBIRQKo6GNcSikDHWLzoSlH5D4&#10;dvSjM5HHsZF2NBOHu16mSm2kMx3xh9YM+Nhi/b0/OQ0fL8evz0ztmie3HiY/K0kul1rf3swP9yAi&#10;zvEPhl99VoeKnQ7+RDaIXsNivdowqiFPswwEE3meJiAOjK4SXsmqlP9LVBcAAAD//wMAUEsBAi0A&#10;FAAGAAgAAAAhALaDOJL+AAAA4QEAABMAAAAAAAAAAAAAAAAAAAAAAFtDb250ZW50X1R5cGVzXS54&#10;bWxQSwECLQAUAAYACAAAACEAOP0h/9YAAACUAQAACwAAAAAAAAAAAAAAAAAvAQAAX3JlbHMvLnJl&#10;bHNQSwECLQAUAAYACAAAACEAEz6/7JYCAABzBQAADgAAAAAAAAAAAAAAAAAuAgAAZHJzL2Uyb0Rv&#10;Yy54bWxQSwECLQAUAAYACAAAACEAjVd8iOAAAAAMAQAADwAAAAAAAAAAAAAAAADwBAAAZHJzL2Rv&#10;d25yZXYueG1sUEsFBgAAAAAEAAQA8wAAAP0FAAAAAA==&#10;" filled="f" stroked="f">
                <v:textbox>
                  <w:txbxContent>
                    <w:p w14:paraId="77D2C9FE" w14:textId="77777777" w:rsidR="00C61025" w:rsidRDefault="00C61025" w:rsidP="00AB4589">
                      <w:pPr>
                        <w:spacing w:after="0"/>
                        <w:ind w:right="-46"/>
                        <w:jc w:val="left"/>
                        <w:rPr>
                          <w:rFonts w:cs="Arial"/>
                          <w:b/>
                          <w:bCs/>
                          <w:sz w:val="52"/>
                          <w:szCs w:val="52"/>
                        </w:rPr>
                      </w:pPr>
                    </w:p>
                    <w:p w14:paraId="6C9C084A" w14:textId="77777777" w:rsidR="00C61025" w:rsidRDefault="00C61025" w:rsidP="00AB4589">
                      <w:pPr>
                        <w:spacing w:after="0"/>
                        <w:ind w:right="-46"/>
                        <w:jc w:val="left"/>
                        <w:rPr>
                          <w:rFonts w:cs="Arial"/>
                          <w:b/>
                          <w:bCs/>
                          <w:sz w:val="52"/>
                          <w:szCs w:val="52"/>
                        </w:rPr>
                      </w:pPr>
                      <w:r>
                        <w:rPr>
                          <w:rFonts w:cs="Arial"/>
                          <w:b/>
                          <w:bCs/>
                          <w:sz w:val="52"/>
                          <w:szCs w:val="52"/>
                        </w:rPr>
                        <w:t>Money Matters</w:t>
                      </w:r>
                    </w:p>
                    <w:p w14:paraId="38F6DD5E" w14:textId="77777777" w:rsidR="00C61025" w:rsidRDefault="00C61025" w:rsidP="00AB4589">
                      <w:pPr>
                        <w:spacing w:after="0"/>
                        <w:ind w:right="-46"/>
                        <w:jc w:val="left"/>
                        <w:rPr>
                          <w:rFonts w:cs="Arial"/>
                          <w:b/>
                          <w:bCs/>
                          <w:sz w:val="52"/>
                          <w:szCs w:val="52"/>
                        </w:rPr>
                      </w:pPr>
                      <w:r>
                        <w:rPr>
                          <w:rFonts w:cs="Arial"/>
                          <w:b/>
                          <w:bCs/>
                          <w:sz w:val="52"/>
                          <w:szCs w:val="52"/>
                        </w:rPr>
                        <w:t>Financial Outlook for the County Council</w:t>
                      </w:r>
                    </w:p>
                    <w:p w14:paraId="71973AEF" w14:textId="77777777" w:rsidR="00C61025" w:rsidRDefault="00C61025" w:rsidP="00AB4589">
                      <w:pPr>
                        <w:spacing w:after="0"/>
                        <w:ind w:right="-46"/>
                        <w:jc w:val="left"/>
                        <w:rPr>
                          <w:rFonts w:cs="Arial"/>
                          <w:b/>
                          <w:bCs/>
                          <w:sz w:val="52"/>
                          <w:szCs w:val="52"/>
                        </w:rPr>
                      </w:pPr>
                      <w:r>
                        <w:rPr>
                          <w:rFonts w:cs="Arial"/>
                          <w:b/>
                          <w:bCs/>
                          <w:sz w:val="52"/>
                          <w:szCs w:val="52"/>
                        </w:rPr>
                        <w:t>Medium Term Financial Strategy &amp; Reserves as at 30</w:t>
                      </w:r>
                      <w:r w:rsidRPr="009C69DC">
                        <w:rPr>
                          <w:rFonts w:cs="Arial"/>
                          <w:b/>
                          <w:bCs/>
                          <w:sz w:val="52"/>
                          <w:szCs w:val="52"/>
                          <w:vertAlign w:val="superscript"/>
                        </w:rPr>
                        <w:t>th</w:t>
                      </w:r>
                      <w:r>
                        <w:rPr>
                          <w:rFonts w:cs="Arial"/>
                          <w:b/>
                          <w:bCs/>
                          <w:sz w:val="52"/>
                          <w:szCs w:val="52"/>
                        </w:rPr>
                        <w:t xml:space="preserve"> September 2019</w:t>
                      </w:r>
                    </w:p>
                    <w:p w14:paraId="51BCD038" w14:textId="77777777" w:rsidR="00C61025" w:rsidRPr="0037393E" w:rsidRDefault="00C61025" w:rsidP="00AB4589">
                      <w:pPr>
                        <w:spacing w:after="0"/>
                        <w:ind w:right="-46"/>
                        <w:jc w:val="left"/>
                        <w:rPr>
                          <w:rFonts w:cs="Arial"/>
                          <w:b/>
                          <w:bCs/>
                          <w:sz w:val="52"/>
                          <w:szCs w:val="52"/>
                        </w:rPr>
                      </w:pPr>
                    </w:p>
                  </w:txbxContent>
                </v:textbox>
              </v:shape>
            </w:pict>
          </mc:Fallback>
        </mc:AlternateContent>
      </w:r>
    </w:p>
    <w:tbl>
      <w:tblPr>
        <w:tblStyle w:val="TableGrid"/>
        <w:tblW w:w="0" w:type="auto"/>
        <w:tblLook w:val="04A0" w:firstRow="1" w:lastRow="0" w:firstColumn="1" w:lastColumn="0" w:noHBand="0" w:noVBand="1"/>
      </w:tblPr>
      <w:tblGrid>
        <w:gridCol w:w="562"/>
        <w:gridCol w:w="5437"/>
        <w:gridCol w:w="3017"/>
      </w:tblGrid>
      <w:tr w:rsidR="0015230B" w14:paraId="16F80AE9" w14:textId="77777777" w:rsidTr="00AB4589">
        <w:trPr>
          <w:trHeight w:val="699"/>
        </w:trPr>
        <w:tc>
          <w:tcPr>
            <w:tcW w:w="562" w:type="dxa"/>
            <w:vAlign w:val="center"/>
          </w:tcPr>
          <w:p w14:paraId="1F86DD3C" w14:textId="77777777" w:rsidR="00AB4589" w:rsidRPr="00813473" w:rsidRDefault="00AB4589" w:rsidP="00AB4589">
            <w:pPr>
              <w:spacing w:after="0"/>
              <w:ind w:right="-46"/>
              <w:jc w:val="center"/>
              <w:rPr>
                <w:rFonts w:cs="Arial"/>
                <w:b/>
                <w:bCs/>
                <w:highlight w:val="yellow"/>
              </w:rPr>
            </w:pPr>
          </w:p>
        </w:tc>
        <w:tc>
          <w:tcPr>
            <w:tcW w:w="5437" w:type="dxa"/>
            <w:vAlign w:val="center"/>
          </w:tcPr>
          <w:p w14:paraId="13E20B5C" w14:textId="77777777" w:rsidR="00AB4589" w:rsidRPr="00F7338D" w:rsidRDefault="00AB4589" w:rsidP="00AB4589">
            <w:pPr>
              <w:spacing w:after="0"/>
              <w:ind w:right="-46"/>
              <w:jc w:val="center"/>
              <w:rPr>
                <w:rFonts w:cs="Arial"/>
                <w:b/>
                <w:bCs/>
              </w:rPr>
            </w:pPr>
            <w:r w:rsidRPr="00F7338D">
              <w:rPr>
                <w:rFonts w:cs="Arial"/>
                <w:b/>
                <w:bCs/>
              </w:rPr>
              <w:t>Contents</w:t>
            </w:r>
          </w:p>
        </w:tc>
        <w:tc>
          <w:tcPr>
            <w:tcW w:w="3017" w:type="dxa"/>
            <w:shd w:val="clear" w:color="auto" w:fill="auto"/>
            <w:vAlign w:val="center"/>
          </w:tcPr>
          <w:p w14:paraId="61DA839D" w14:textId="77777777" w:rsidR="00AB4589" w:rsidRPr="00813473" w:rsidRDefault="00AB4589" w:rsidP="00AB4589">
            <w:pPr>
              <w:spacing w:after="0"/>
              <w:ind w:right="-46"/>
              <w:jc w:val="center"/>
              <w:rPr>
                <w:rFonts w:cs="Arial"/>
                <w:b/>
                <w:bCs/>
                <w:highlight w:val="yellow"/>
              </w:rPr>
            </w:pPr>
            <w:r w:rsidRPr="007E6968">
              <w:rPr>
                <w:rFonts w:cs="Arial"/>
                <w:b/>
                <w:bCs/>
              </w:rPr>
              <w:t>Page</w:t>
            </w:r>
          </w:p>
        </w:tc>
      </w:tr>
      <w:tr w:rsidR="0015230B" w14:paraId="4966E45A" w14:textId="77777777" w:rsidTr="00AB4589">
        <w:tc>
          <w:tcPr>
            <w:tcW w:w="562" w:type="dxa"/>
            <w:vAlign w:val="center"/>
          </w:tcPr>
          <w:p w14:paraId="44C73D33" w14:textId="77777777" w:rsidR="00AB4589" w:rsidRPr="00F7338D" w:rsidRDefault="00AB4589" w:rsidP="00AB4589">
            <w:pPr>
              <w:spacing w:after="0"/>
              <w:ind w:right="-46"/>
              <w:jc w:val="center"/>
              <w:rPr>
                <w:rFonts w:cs="Arial"/>
                <w:b/>
                <w:bCs/>
              </w:rPr>
            </w:pPr>
            <w:r w:rsidRPr="00F7338D">
              <w:rPr>
                <w:rFonts w:cs="Arial"/>
                <w:b/>
                <w:bCs/>
              </w:rPr>
              <w:t>1</w:t>
            </w:r>
          </w:p>
        </w:tc>
        <w:tc>
          <w:tcPr>
            <w:tcW w:w="5437" w:type="dxa"/>
            <w:vAlign w:val="center"/>
          </w:tcPr>
          <w:p w14:paraId="2A839BFB" w14:textId="77777777" w:rsidR="00AB4589" w:rsidRPr="00F7338D" w:rsidRDefault="00AB4589" w:rsidP="00AB4589">
            <w:pPr>
              <w:spacing w:after="0"/>
              <w:ind w:right="-46"/>
              <w:rPr>
                <w:rFonts w:cs="Arial"/>
                <w:b/>
                <w:bCs/>
              </w:rPr>
            </w:pPr>
          </w:p>
          <w:p w14:paraId="1603A67B" w14:textId="77777777" w:rsidR="00AB4589" w:rsidRPr="00F7338D" w:rsidRDefault="00AB4589" w:rsidP="00AB4589">
            <w:pPr>
              <w:spacing w:after="0"/>
              <w:ind w:right="-46"/>
              <w:rPr>
                <w:rFonts w:cs="Arial"/>
                <w:b/>
                <w:bCs/>
              </w:rPr>
            </w:pPr>
            <w:r w:rsidRPr="00F7338D">
              <w:rPr>
                <w:rFonts w:cs="Arial"/>
                <w:b/>
                <w:bCs/>
              </w:rPr>
              <w:t>Executive Summary</w:t>
            </w:r>
          </w:p>
          <w:p w14:paraId="25167C4D" w14:textId="77777777" w:rsidR="00AB4589" w:rsidRPr="00F7338D" w:rsidRDefault="00AB4589" w:rsidP="00AB4589">
            <w:pPr>
              <w:spacing w:after="0"/>
              <w:ind w:right="-46"/>
              <w:rPr>
                <w:rFonts w:cs="Arial"/>
                <w:b/>
                <w:bCs/>
              </w:rPr>
            </w:pPr>
          </w:p>
        </w:tc>
        <w:tc>
          <w:tcPr>
            <w:tcW w:w="3017" w:type="dxa"/>
            <w:vAlign w:val="center"/>
          </w:tcPr>
          <w:p w14:paraId="6AAB519D" w14:textId="77777777" w:rsidR="00AB4589" w:rsidRPr="00813473" w:rsidRDefault="00AB4589" w:rsidP="00AB4589">
            <w:pPr>
              <w:spacing w:after="0"/>
              <w:ind w:right="-46"/>
              <w:jc w:val="center"/>
              <w:rPr>
                <w:rFonts w:cs="Arial"/>
                <w:b/>
                <w:bCs/>
                <w:highlight w:val="yellow"/>
              </w:rPr>
            </w:pPr>
            <w:r w:rsidRPr="005676DD">
              <w:rPr>
                <w:rFonts w:cs="Arial"/>
                <w:b/>
                <w:bCs/>
              </w:rPr>
              <w:t>3</w:t>
            </w:r>
          </w:p>
        </w:tc>
      </w:tr>
      <w:tr w:rsidR="0015230B" w14:paraId="0FD45176" w14:textId="77777777" w:rsidTr="00AB4589">
        <w:tc>
          <w:tcPr>
            <w:tcW w:w="562" w:type="dxa"/>
            <w:vAlign w:val="center"/>
          </w:tcPr>
          <w:p w14:paraId="0B533541" w14:textId="77777777" w:rsidR="00AB4589" w:rsidRPr="00F7338D" w:rsidRDefault="00AB4589" w:rsidP="00AB4589">
            <w:pPr>
              <w:spacing w:after="0"/>
              <w:ind w:right="-46"/>
              <w:jc w:val="center"/>
              <w:rPr>
                <w:rFonts w:cs="Arial"/>
                <w:b/>
                <w:bCs/>
              </w:rPr>
            </w:pPr>
            <w:r w:rsidRPr="00F7338D">
              <w:rPr>
                <w:rFonts w:cs="Arial"/>
                <w:b/>
                <w:bCs/>
              </w:rPr>
              <w:t>2</w:t>
            </w:r>
          </w:p>
        </w:tc>
        <w:tc>
          <w:tcPr>
            <w:tcW w:w="5437" w:type="dxa"/>
            <w:vAlign w:val="center"/>
          </w:tcPr>
          <w:p w14:paraId="122EA8F3" w14:textId="77777777" w:rsidR="00AB4589" w:rsidRPr="00F7338D" w:rsidRDefault="00AB4589" w:rsidP="00AB4589">
            <w:pPr>
              <w:spacing w:after="0"/>
              <w:ind w:right="-46"/>
              <w:rPr>
                <w:rFonts w:cs="Arial"/>
                <w:b/>
                <w:bCs/>
              </w:rPr>
            </w:pPr>
          </w:p>
          <w:p w14:paraId="23143DCF" w14:textId="77777777" w:rsidR="00AB4589" w:rsidRPr="00F7338D" w:rsidRDefault="00AB4589" w:rsidP="00AB4589">
            <w:pPr>
              <w:spacing w:after="0"/>
              <w:ind w:right="-46"/>
              <w:rPr>
                <w:rFonts w:cs="Arial"/>
                <w:b/>
                <w:bCs/>
              </w:rPr>
            </w:pPr>
            <w:r w:rsidRPr="00F7338D">
              <w:rPr>
                <w:rFonts w:cs="Arial"/>
                <w:b/>
                <w:bCs/>
              </w:rPr>
              <w:t>Funding</w:t>
            </w:r>
          </w:p>
          <w:p w14:paraId="5A93E545" w14:textId="77777777" w:rsidR="00AB4589" w:rsidRPr="00F7338D" w:rsidRDefault="00AB4589" w:rsidP="00AB4589">
            <w:pPr>
              <w:spacing w:after="0"/>
              <w:ind w:right="-46"/>
              <w:rPr>
                <w:rFonts w:cs="Arial"/>
                <w:b/>
                <w:bCs/>
              </w:rPr>
            </w:pPr>
          </w:p>
        </w:tc>
        <w:tc>
          <w:tcPr>
            <w:tcW w:w="3017" w:type="dxa"/>
            <w:vAlign w:val="center"/>
          </w:tcPr>
          <w:p w14:paraId="76CF754F" w14:textId="77777777" w:rsidR="00AB4589" w:rsidRPr="00813473" w:rsidRDefault="00AB4589" w:rsidP="00AB4589">
            <w:pPr>
              <w:spacing w:after="0"/>
              <w:ind w:right="-46"/>
              <w:jc w:val="center"/>
              <w:rPr>
                <w:rFonts w:cs="Arial"/>
                <w:b/>
                <w:bCs/>
                <w:highlight w:val="yellow"/>
              </w:rPr>
            </w:pPr>
            <w:r>
              <w:rPr>
                <w:rFonts w:cs="Arial"/>
                <w:b/>
                <w:bCs/>
              </w:rPr>
              <w:t>6</w:t>
            </w:r>
          </w:p>
        </w:tc>
      </w:tr>
      <w:tr w:rsidR="0015230B" w14:paraId="6D6C036D" w14:textId="77777777" w:rsidTr="00AB4589">
        <w:tc>
          <w:tcPr>
            <w:tcW w:w="562" w:type="dxa"/>
            <w:vAlign w:val="center"/>
          </w:tcPr>
          <w:p w14:paraId="5F45D5C9" w14:textId="77777777" w:rsidR="00AB4589" w:rsidRPr="00F7338D" w:rsidRDefault="00AB4589" w:rsidP="00AB4589">
            <w:pPr>
              <w:spacing w:after="0"/>
              <w:ind w:right="-46"/>
              <w:jc w:val="center"/>
              <w:rPr>
                <w:rFonts w:cs="Arial"/>
                <w:b/>
                <w:bCs/>
              </w:rPr>
            </w:pPr>
            <w:r w:rsidRPr="00F7338D">
              <w:rPr>
                <w:rFonts w:cs="Arial"/>
                <w:b/>
                <w:bCs/>
              </w:rPr>
              <w:t>3</w:t>
            </w:r>
          </w:p>
        </w:tc>
        <w:tc>
          <w:tcPr>
            <w:tcW w:w="5437" w:type="dxa"/>
            <w:vAlign w:val="center"/>
          </w:tcPr>
          <w:p w14:paraId="15276986" w14:textId="77777777" w:rsidR="00AB4589" w:rsidRPr="00F7338D" w:rsidRDefault="00AB4589" w:rsidP="00AB4589">
            <w:pPr>
              <w:spacing w:after="0"/>
              <w:ind w:right="-46"/>
              <w:rPr>
                <w:rFonts w:cs="Arial"/>
                <w:b/>
                <w:bCs/>
              </w:rPr>
            </w:pPr>
          </w:p>
          <w:p w14:paraId="2407E391" w14:textId="77777777" w:rsidR="00AB4589" w:rsidRPr="00F7338D" w:rsidRDefault="00AB4589" w:rsidP="00AB4589">
            <w:pPr>
              <w:spacing w:after="0"/>
              <w:ind w:right="-46"/>
              <w:rPr>
                <w:rFonts w:cs="Arial"/>
                <w:b/>
                <w:bCs/>
              </w:rPr>
            </w:pPr>
            <w:r w:rsidRPr="00F7338D">
              <w:rPr>
                <w:rFonts w:cs="Arial"/>
                <w:b/>
                <w:bCs/>
              </w:rPr>
              <w:t xml:space="preserve">Net Budget Requirement </w:t>
            </w:r>
          </w:p>
          <w:p w14:paraId="5DB1F9C1" w14:textId="77777777" w:rsidR="00AB4589" w:rsidRPr="00F7338D" w:rsidRDefault="00AB4589" w:rsidP="00AB4589">
            <w:pPr>
              <w:spacing w:after="0"/>
              <w:ind w:right="-46"/>
              <w:rPr>
                <w:rFonts w:cs="Arial"/>
                <w:b/>
                <w:bCs/>
              </w:rPr>
            </w:pPr>
          </w:p>
        </w:tc>
        <w:tc>
          <w:tcPr>
            <w:tcW w:w="3017" w:type="dxa"/>
            <w:vAlign w:val="center"/>
          </w:tcPr>
          <w:p w14:paraId="0FC75747" w14:textId="77777777" w:rsidR="00AB4589" w:rsidRPr="00813473" w:rsidRDefault="00AB4589" w:rsidP="00AB4589">
            <w:pPr>
              <w:spacing w:after="0"/>
              <w:ind w:right="-46"/>
              <w:jc w:val="center"/>
              <w:rPr>
                <w:rFonts w:cs="Arial"/>
                <w:b/>
                <w:bCs/>
                <w:highlight w:val="yellow"/>
              </w:rPr>
            </w:pPr>
            <w:r>
              <w:rPr>
                <w:rFonts w:cs="Arial"/>
                <w:b/>
                <w:bCs/>
              </w:rPr>
              <w:t>9</w:t>
            </w:r>
          </w:p>
        </w:tc>
      </w:tr>
      <w:tr w:rsidR="0015230B" w14:paraId="0A3F7BBA" w14:textId="77777777" w:rsidTr="00AB4589">
        <w:tc>
          <w:tcPr>
            <w:tcW w:w="562" w:type="dxa"/>
            <w:vAlign w:val="center"/>
          </w:tcPr>
          <w:p w14:paraId="63CC551F" w14:textId="77777777" w:rsidR="00AB4589" w:rsidRPr="00F7338D" w:rsidRDefault="00AB4589" w:rsidP="00AB4589">
            <w:pPr>
              <w:spacing w:after="0"/>
              <w:ind w:right="-46"/>
              <w:jc w:val="center"/>
              <w:rPr>
                <w:rFonts w:cs="Arial"/>
                <w:b/>
                <w:bCs/>
              </w:rPr>
            </w:pPr>
            <w:r w:rsidRPr="00F7338D">
              <w:rPr>
                <w:rFonts w:cs="Arial"/>
                <w:b/>
                <w:bCs/>
              </w:rPr>
              <w:t>4</w:t>
            </w:r>
          </w:p>
        </w:tc>
        <w:tc>
          <w:tcPr>
            <w:tcW w:w="5437" w:type="dxa"/>
            <w:vAlign w:val="center"/>
          </w:tcPr>
          <w:p w14:paraId="30EA6F16" w14:textId="77777777" w:rsidR="00AB4589" w:rsidRPr="00F7338D" w:rsidRDefault="00AB4589" w:rsidP="00AB4589">
            <w:pPr>
              <w:spacing w:after="0"/>
              <w:ind w:right="-46"/>
              <w:rPr>
                <w:rFonts w:cs="Arial"/>
                <w:b/>
                <w:bCs/>
              </w:rPr>
            </w:pPr>
          </w:p>
          <w:p w14:paraId="2CB47D41" w14:textId="77777777" w:rsidR="00AB4589" w:rsidRPr="00F7338D" w:rsidRDefault="00AB4589" w:rsidP="00AB4589">
            <w:pPr>
              <w:spacing w:after="0"/>
              <w:ind w:right="-46"/>
              <w:rPr>
                <w:rFonts w:cs="Arial"/>
                <w:b/>
                <w:bCs/>
              </w:rPr>
            </w:pPr>
            <w:r w:rsidRPr="00F7338D">
              <w:rPr>
                <w:rFonts w:cs="Arial"/>
                <w:b/>
                <w:bCs/>
              </w:rPr>
              <w:t>Reserves</w:t>
            </w:r>
          </w:p>
          <w:p w14:paraId="2335ED6C" w14:textId="77777777" w:rsidR="00AB4589" w:rsidRPr="00F7338D" w:rsidRDefault="00AB4589" w:rsidP="00AB4589">
            <w:pPr>
              <w:spacing w:after="0"/>
              <w:ind w:right="-46"/>
              <w:rPr>
                <w:rFonts w:cs="Arial"/>
                <w:b/>
                <w:bCs/>
              </w:rPr>
            </w:pPr>
          </w:p>
        </w:tc>
        <w:tc>
          <w:tcPr>
            <w:tcW w:w="3017" w:type="dxa"/>
            <w:vAlign w:val="center"/>
          </w:tcPr>
          <w:p w14:paraId="66E214A9" w14:textId="77777777" w:rsidR="00AB4589" w:rsidRPr="00813473" w:rsidRDefault="00AB4589" w:rsidP="00AB4589">
            <w:pPr>
              <w:spacing w:after="0"/>
              <w:ind w:right="-46"/>
              <w:jc w:val="center"/>
              <w:rPr>
                <w:rFonts w:cs="Arial"/>
                <w:b/>
                <w:bCs/>
                <w:highlight w:val="yellow"/>
              </w:rPr>
            </w:pPr>
            <w:r w:rsidRPr="00B547B4">
              <w:rPr>
                <w:rFonts w:cs="Arial"/>
                <w:b/>
                <w:bCs/>
              </w:rPr>
              <w:t>12</w:t>
            </w:r>
          </w:p>
        </w:tc>
      </w:tr>
      <w:tr w:rsidR="0015230B" w14:paraId="2B8AECBB" w14:textId="77777777" w:rsidTr="00AB4589">
        <w:tc>
          <w:tcPr>
            <w:tcW w:w="562" w:type="dxa"/>
            <w:vAlign w:val="center"/>
          </w:tcPr>
          <w:p w14:paraId="407A4A5D" w14:textId="77777777" w:rsidR="00AB4589" w:rsidRPr="00F7338D" w:rsidRDefault="00AB4589" w:rsidP="00AB4589">
            <w:pPr>
              <w:spacing w:after="0"/>
              <w:ind w:right="-46"/>
              <w:jc w:val="center"/>
              <w:rPr>
                <w:rFonts w:cs="Arial"/>
                <w:b/>
                <w:bCs/>
              </w:rPr>
            </w:pPr>
          </w:p>
          <w:p w14:paraId="2E83A9AD" w14:textId="77777777" w:rsidR="00AB4589" w:rsidRPr="00F7338D" w:rsidRDefault="00AB4589" w:rsidP="00AB4589">
            <w:pPr>
              <w:spacing w:after="0"/>
              <w:ind w:right="-46"/>
              <w:jc w:val="center"/>
              <w:rPr>
                <w:rFonts w:cs="Arial"/>
                <w:b/>
                <w:bCs/>
              </w:rPr>
            </w:pPr>
            <w:r w:rsidRPr="00F7338D">
              <w:rPr>
                <w:rFonts w:cs="Arial"/>
                <w:b/>
                <w:bCs/>
              </w:rPr>
              <w:t>5</w:t>
            </w:r>
          </w:p>
          <w:p w14:paraId="0C112E2A" w14:textId="77777777" w:rsidR="00AB4589" w:rsidRPr="00F7338D" w:rsidRDefault="00AB4589" w:rsidP="00AB4589">
            <w:pPr>
              <w:spacing w:after="0"/>
              <w:ind w:right="-46"/>
              <w:jc w:val="center"/>
              <w:rPr>
                <w:rFonts w:cs="Arial"/>
                <w:b/>
                <w:bCs/>
              </w:rPr>
            </w:pPr>
          </w:p>
        </w:tc>
        <w:tc>
          <w:tcPr>
            <w:tcW w:w="5437" w:type="dxa"/>
            <w:vAlign w:val="center"/>
          </w:tcPr>
          <w:p w14:paraId="0A24AC58" w14:textId="77777777" w:rsidR="00AB4589" w:rsidRPr="00F7338D" w:rsidRDefault="00AB4589" w:rsidP="00AB4589">
            <w:pPr>
              <w:spacing w:after="0"/>
              <w:ind w:right="-46"/>
              <w:rPr>
                <w:rFonts w:cs="Arial"/>
                <w:b/>
                <w:bCs/>
              </w:rPr>
            </w:pPr>
            <w:r w:rsidRPr="00F7338D">
              <w:rPr>
                <w:rFonts w:cs="Arial"/>
                <w:b/>
                <w:bCs/>
              </w:rPr>
              <w:t>Future Risks and Opportunities</w:t>
            </w:r>
          </w:p>
        </w:tc>
        <w:tc>
          <w:tcPr>
            <w:tcW w:w="3017" w:type="dxa"/>
            <w:vAlign w:val="center"/>
          </w:tcPr>
          <w:p w14:paraId="3BF47074" w14:textId="77777777" w:rsidR="00AB4589" w:rsidRPr="00813473" w:rsidRDefault="00AB4589" w:rsidP="00AB4589">
            <w:pPr>
              <w:spacing w:after="0"/>
              <w:ind w:right="-46"/>
              <w:jc w:val="center"/>
              <w:rPr>
                <w:rFonts w:cs="Arial"/>
                <w:b/>
                <w:bCs/>
                <w:highlight w:val="yellow"/>
              </w:rPr>
            </w:pPr>
            <w:r w:rsidRPr="00B547B4">
              <w:rPr>
                <w:rFonts w:cs="Arial"/>
                <w:b/>
                <w:bCs/>
              </w:rPr>
              <w:t>13</w:t>
            </w:r>
          </w:p>
        </w:tc>
      </w:tr>
    </w:tbl>
    <w:p w14:paraId="0BA88C91" w14:textId="77777777" w:rsidR="00AB4589" w:rsidRPr="00813473" w:rsidRDefault="00AB4589" w:rsidP="00AB4589">
      <w:pPr>
        <w:spacing w:after="0"/>
        <w:ind w:right="-46"/>
        <w:rPr>
          <w:rFonts w:cs="Arial"/>
          <w:b/>
          <w:bCs/>
          <w:highlight w:val="yellow"/>
        </w:rPr>
      </w:pPr>
    </w:p>
    <w:p w14:paraId="5C2546DA" w14:textId="77777777" w:rsidR="00AB4589" w:rsidRPr="00813473" w:rsidRDefault="00AB4589">
      <w:pPr>
        <w:autoSpaceDE/>
        <w:autoSpaceDN/>
        <w:adjustRightInd/>
        <w:spacing w:after="0"/>
        <w:jc w:val="left"/>
        <w:rPr>
          <w:rFonts w:cs="Arial"/>
          <w:b/>
          <w:highlight w:val="yellow"/>
        </w:rPr>
      </w:pPr>
      <w:r w:rsidRPr="00813473">
        <w:rPr>
          <w:rFonts w:cs="Arial"/>
          <w:b/>
          <w:highlight w:val="yellow"/>
        </w:rPr>
        <w:br w:type="page"/>
      </w:r>
      <w:bookmarkStart w:id="0" w:name="_GoBack"/>
      <w:bookmarkEnd w:id="0"/>
    </w:p>
    <w:p w14:paraId="1D1C1188" w14:textId="77777777" w:rsidR="00AB4589" w:rsidRPr="00F7338D" w:rsidRDefault="00AB4589" w:rsidP="00AB4589">
      <w:pPr>
        <w:pStyle w:val="ListParagraph"/>
        <w:numPr>
          <w:ilvl w:val="0"/>
          <w:numId w:val="25"/>
        </w:numPr>
        <w:spacing w:after="0"/>
        <w:ind w:left="567" w:hanging="567"/>
        <w:rPr>
          <w:rFonts w:cs="Arial"/>
          <w:b/>
        </w:rPr>
      </w:pPr>
      <w:r w:rsidRPr="00F7338D">
        <w:rPr>
          <w:rFonts w:cs="Arial"/>
          <w:b/>
        </w:rPr>
        <w:lastRenderedPageBreak/>
        <w:t xml:space="preserve">Executive </w:t>
      </w:r>
      <w:r>
        <w:rPr>
          <w:rFonts w:cs="Arial"/>
          <w:b/>
        </w:rPr>
        <w:t>s</w:t>
      </w:r>
      <w:r w:rsidRPr="00F7338D">
        <w:rPr>
          <w:rFonts w:cs="Arial"/>
          <w:b/>
        </w:rPr>
        <w:t>ummary</w:t>
      </w:r>
    </w:p>
    <w:p w14:paraId="58D95D4E" w14:textId="77777777" w:rsidR="00AB4589" w:rsidRPr="00F7338D" w:rsidRDefault="00AB4589" w:rsidP="00AB4589">
      <w:pPr>
        <w:pStyle w:val="ListParagraph"/>
        <w:spacing w:after="0"/>
        <w:ind w:left="567"/>
        <w:rPr>
          <w:rFonts w:cs="Arial"/>
          <w:b/>
        </w:rPr>
      </w:pPr>
    </w:p>
    <w:p w14:paraId="25DD5D71" w14:textId="77777777" w:rsidR="00AB4589" w:rsidRDefault="00AB4589" w:rsidP="00AB4589">
      <w:pPr>
        <w:tabs>
          <w:tab w:val="left" w:pos="567"/>
          <w:tab w:val="left" w:pos="1134"/>
        </w:tabs>
        <w:spacing w:after="0"/>
        <w:rPr>
          <w:rFonts w:cs="Arial"/>
        </w:rPr>
      </w:pPr>
      <w:r w:rsidRPr="00F7338D">
        <w:rPr>
          <w:rFonts w:cs="Arial"/>
        </w:rPr>
        <w:t xml:space="preserve">At </w:t>
      </w:r>
      <w:r>
        <w:rPr>
          <w:rFonts w:cs="Arial"/>
        </w:rPr>
        <w:t>c</w:t>
      </w:r>
      <w:r w:rsidRPr="00F7338D">
        <w:rPr>
          <w:rFonts w:cs="Arial"/>
        </w:rPr>
        <w:t xml:space="preserve">abinet in September 2019 the </w:t>
      </w:r>
      <w:r>
        <w:rPr>
          <w:rFonts w:cs="Arial"/>
        </w:rPr>
        <w:t>m</w:t>
      </w:r>
      <w:r w:rsidRPr="00F7338D">
        <w:rPr>
          <w:rFonts w:cs="Arial"/>
        </w:rPr>
        <w:t xml:space="preserve">edium </w:t>
      </w:r>
      <w:r>
        <w:rPr>
          <w:rFonts w:cs="Arial"/>
        </w:rPr>
        <w:t>t</w:t>
      </w:r>
      <w:r w:rsidRPr="00F7338D">
        <w:rPr>
          <w:rFonts w:cs="Arial"/>
        </w:rPr>
        <w:t xml:space="preserve">erm </w:t>
      </w:r>
      <w:r>
        <w:rPr>
          <w:rFonts w:cs="Arial"/>
        </w:rPr>
        <w:t>f</w:t>
      </w:r>
      <w:r w:rsidRPr="00F7338D">
        <w:rPr>
          <w:rFonts w:cs="Arial"/>
        </w:rPr>
        <w:t xml:space="preserve">inancial </w:t>
      </w:r>
      <w:r>
        <w:rPr>
          <w:rFonts w:cs="Arial"/>
        </w:rPr>
        <w:t>s</w:t>
      </w:r>
      <w:r w:rsidRPr="00F7338D">
        <w:rPr>
          <w:rFonts w:cs="Arial"/>
        </w:rPr>
        <w:t>trategy (MTFS) set out a forecast funding gap of £64.755m by the end of the 3 year period (2020/21 – 2022/23).</w:t>
      </w:r>
      <w:r>
        <w:rPr>
          <w:rFonts w:cs="Arial"/>
        </w:rPr>
        <w:t xml:space="preserve"> The report was delivered on the day following the September spending review announcement. The timing of the announcement precluded the impact of the review from being factored </w:t>
      </w:r>
      <w:r w:rsidRPr="00F7338D">
        <w:rPr>
          <w:rFonts w:cs="Arial"/>
        </w:rPr>
        <w:t>into</w:t>
      </w:r>
      <w:r>
        <w:rPr>
          <w:rFonts w:cs="Arial"/>
        </w:rPr>
        <w:t xml:space="preserve"> the assumptions and resulting numbers.</w:t>
      </w:r>
    </w:p>
    <w:p w14:paraId="3856854D" w14:textId="77777777" w:rsidR="00AB4589" w:rsidRDefault="00AB4589" w:rsidP="00AB4589">
      <w:pPr>
        <w:tabs>
          <w:tab w:val="left" w:pos="567"/>
          <w:tab w:val="left" w:pos="1134"/>
        </w:tabs>
        <w:spacing w:after="0"/>
        <w:rPr>
          <w:rFonts w:cs="Arial"/>
        </w:rPr>
      </w:pPr>
    </w:p>
    <w:p w14:paraId="6A44BF39" w14:textId="77777777" w:rsidR="00AB4589" w:rsidRPr="00F7338D" w:rsidRDefault="00AB4589" w:rsidP="00AB4589">
      <w:pPr>
        <w:tabs>
          <w:tab w:val="left" w:pos="567"/>
          <w:tab w:val="left" w:pos="1134"/>
        </w:tabs>
        <w:spacing w:after="0"/>
        <w:rPr>
          <w:rFonts w:cs="Arial"/>
        </w:rPr>
      </w:pPr>
      <w:r>
        <w:rPr>
          <w:rFonts w:cs="Arial"/>
        </w:rPr>
        <w:t>Since then, the provisional finance settlement for 2020/21 has been announced which has helped to significantly firm up the numbers for the coming financial year.</w:t>
      </w:r>
    </w:p>
    <w:p w14:paraId="6A68EF41" w14:textId="77777777" w:rsidR="00AB4589" w:rsidRPr="00813473" w:rsidRDefault="00AB4589" w:rsidP="00AB4589">
      <w:pPr>
        <w:tabs>
          <w:tab w:val="left" w:pos="567"/>
          <w:tab w:val="left" w:pos="1134"/>
        </w:tabs>
        <w:spacing w:after="0"/>
        <w:rPr>
          <w:rFonts w:cs="Arial"/>
          <w:highlight w:val="yellow"/>
        </w:rPr>
      </w:pPr>
    </w:p>
    <w:p w14:paraId="56AF92FD" w14:textId="77777777" w:rsidR="00AB4589" w:rsidRDefault="00AB4589" w:rsidP="00AB4589">
      <w:pPr>
        <w:tabs>
          <w:tab w:val="left" w:pos="567"/>
          <w:tab w:val="left" w:pos="1134"/>
        </w:tabs>
        <w:spacing w:after="0"/>
        <w:rPr>
          <w:rFonts w:cs="Arial"/>
        </w:rPr>
      </w:pPr>
      <w:r w:rsidRPr="00F7338D">
        <w:rPr>
          <w:rFonts w:cs="Arial"/>
        </w:rPr>
        <w:t>This report provides an updated position covering the 2020/21 – 202</w:t>
      </w:r>
      <w:r>
        <w:rPr>
          <w:rFonts w:cs="Arial"/>
        </w:rPr>
        <w:t>3</w:t>
      </w:r>
      <w:r w:rsidRPr="00F7338D">
        <w:rPr>
          <w:rFonts w:cs="Arial"/>
        </w:rPr>
        <w:t>/2</w:t>
      </w:r>
      <w:r>
        <w:rPr>
          <w:rFonts w:cs="Arial"/>
        </w:rPr>
        <w:t>4</w:t>
      </w:r>
      <w:r w:rsidRPr="00F7338D">
        <w:rPr>
          <w:rFonts w:cs="Arial"/>
        </w:rPr>
        <w:t xml:space="preserve"> financial years.</w:t>
      </w:r>
    </w:p>
    <w:p w14:paraId="28A6CFD9" w14:textId="77777777" w:rsidR="00AB4589" w:rsidRDefault="00AB4589" w:rsidP="00AB4589">
      <w:pPr>
        <w:tabs>
          <w:tab w:val="left" w:pos="567"/>
          <w:tab w:val="left" w:pos="1134"/>
        </w:tabs>
        <w:spacing w:after="0"/>
        <w:rPr>
          <w:rFonts w:cs="Arial"/>
        </w:rPr>
      </w:pPr>
    </w:p>
    <w:p w14:paraId="22808CCE" w14:textId="77777777" w:rsidR="00AB4589" w:rsidRPr="0039400E" w:rsidRDefault="00AB4589" w:rsidP="00AB4589">
      <w:pPr>
        <w:tabs>
          <w:tab w:val="left" w:pos="567"/>
          <w:tab w:val="left" w:pos="1134"/>
        </w:tabs>
        <w:spacing w:after="0"/>
        <w:rPr>
          <w:rFonts w:cs="Arial"/>
        </w:rPr>
      </w:pPr>
      <w:r w:rsidRPr="00702CD9">
        <w:rPr>
          <w:rFonts w:cs="Arial"/>
        </w:rPr>
        <w:t>A review of assumptions, relating to both income and expenditure, has been undertaken to reflect the most current information available. Due to the ongoing and unprecedented uncertainty in relation to future local government funding there are a significant number of variables leading to a range of different funding scenarios. These have been considered by the Corporate Management Team and the most likely scenario selected as the basis for this</w:t>
      </w:r>
      <w:r>
        <w:rPr>
          <w:rFonts w:cs="Arial"/>
        </w:rPr>
        <w:t xml:space="preserve"> </w:t>
      </w:r>
      <w:r w:rsidRPr="00E512C5">
        <w:rPr>
          <w:rFonts w:cs="Arial"/>
        </w:rPr>
        <w:t xml:space="preserve">MTFS.   </w:t>
      </w:r>
      <w:r>
        <w:rPr>
          <w:rFonts w:cs="Arial"/>
        </w:rPr>
        <w:t xml:space="preserve">The selected scenario is supported by advice from </w:t>
      </w:r>
      <w:r w:rsidRPr="00B04141">
        <w:rPr>
          <w:rFonts w:cs="Arial"/>
        </w:rPr>
        <w:t xml:space="preserve">leading experts in </w:t>
      </w:r>
      <w:r w:rsidRPr="00B04141">
        <w:rPr>
          <w:rFonts w:cs="Arial"/>
          <w:bCs/>
        </w:rPr>
        <w:t>local government</w:t>
      </w:r>
      <w:r w:rsidRPr="00B04141">
        <w:rPr>
          <w:rFonts w:cs="Arial"/>
        </w:rPr>
        <w:t xml:space="preserve"> finance and funding</w:t>
      </w:r>
      <w:r>
        <w:rPr>
          <w:rFonts w:cs="Arial"/>
        </w:rPr>
        <w:t>.</w:t>
      </w:r>
    </w:p>
    <w:p w14:paraId="38A66D90" w14:textId="77777777" w:rsidR="00AB4589" w:rsidRPr="00813473" w:rsidRDefault="00AB4589" w:rsidP="00AB4589">
      <w:pPr>
        <w:tabs>
          <w:tab w:val="left" w:pos="567"/>
          <w:tab w:val="left" w:pos="1134"/>
        </w:tabs>
        <w:spacing w:after="0"/>
        <w:rPr>
          <w:rFonts w:cs="Arial"/>
          <w:highlight w:val="yellow"/>
        </w:rPr>
      </w:pPr>
    </w:p>
    <w:p w14:paraId="63C60607" w14:textId="089A7AF4" w:rsidR="00AB4589" w:rsidRPr="00E512C5" w:rsidRDefault="00AB4589" w:rsidP="00AB4589">
      <w:pPr>
        <w:tabs>
          <w:tab w:val="left" w:pos="567"/>
          <w:tab w:val="left" w:pos="1134"/>
        </w:tabs>
        <w:spacing w:after="0"/>
        <w:rPr>
          <w:rFonts w:cs="Arial"/>
        </w:rPr>
      </w:pPr>
      <w:r w:rsidRPr="00E512C5">
        <w:rPr>
          <w:rFonts w:cs="Arial"/>
        </w:rPr>
        <w:t xml:space="preserve">The updated funding gap contained within the report </w:t>
      </w:r>
      <w:r>
        <w:rPr>
          <w:rFonts w:cs="Arial"/>
        </w:rPr>
        <w:t>is</w:t>
      </w:r>
      <w:r w:rsidRPr="00E512C5">
        <w:rPr>
          <w:rFonts w:cs="Arial"/>
        </w:rPr>
        <w:t xml:space="preserve"> £28.438m by 2023/24 which is a decrease of £36.317m from the previously reported </w:t>
      </w:r>
      <w:r w:rsidR="00DF6F6C" w:rsidRPr="00E512C5">
        <w:rPr>
          <w:rFonts w:cs="Arial"/>
        </w:rPr>
        <w:t>position.</w:t>
      </w:r>
      <w:r w:rsidR="00DF6F6C">
        <w:rPr>
          <w:rFonts w:cs="Arial"/>
        </w:rPr>
        <w:t xml:space="preserve"> The</w:t>
      </w:r>
      <w:r>
        <w:rPr>
          <w:rFonts w:cs="Arial"/>
        </w:rPr>
        <w:t xml:space="preserve"> worst case scenario that we modelled, although unlikely, indicated a budget gap of £85.915m by 2023/24.</w:t>
      </w:r>
      <w:r w:rsidRPr="00E512C5">
        <w:rPr>
          <w:rFonts w:cs="Arial"/>
        </w:rPr>
        <w:t xml:space="preserve"> There is </w:t>
      </w:r>
      <w:r>
        <w:rPr>
          <w:rFonts w:cs="Arial"/>
        </w:rPr>
        <w:t>no forecast requirement for structural budget funding from reserves in 2020/21</w:t>
      </w:r>
      <w:r w:rsidR="00DF6F6C">
        <w:rPr>
          <w:rFonts w:cs="Arial"/>
        </w:rPr>
        <w:t>.This is</w:t>
      </w:r>
      <w:r>
        <w:rPr>
          <w:rFonts w:cs="Arial"/>
        </w:rPr>
        <w:t xml:space="preserve"> after assuming that there is a </w:t>
      </w:r>
      <w:r w:rsidR="00DF6F6C">
        <w:rPr>
          <w:rFonts w:cs="Arial"/>
        </w:rPr>
        <w:t xml:space="preserve">revenue </w:t>
      </w:r>
      <w:r>
        <w:rPr>
          <w:rFonts w:cs="Arial"/>
        </w:rPr>
        <w:t xml:space="preserve">contribution of £800,000 to the commencement of the organisational development review commencing in January 2020. There is </w:t>
      </w:r>
      <w:r w:rsidRPr="00E512C5">
        <w:rPr>
          <w:rFonts w:cs="Arial"/>
        </w:rPr>
        <w:t xml:space="preserve">a small surplus </w:t>
      </w:r>
      <w:r>
        <w:rPr>
          <w:rFonts w:cs="Arial"/>
        </w:rPr>
        <w:t xml:space="preserve">forecast </w:t>
      </w:r>
      <w:r w:rsidRPr="00E512C5">
        <w:rPr>
          <w:rFonts w:cs="Arial"/>
        </w:rPr>
        <w:t>for 2021/22</w:t>
      </w:r>
      <w:r>
        <w:rPr>
          <w:rFonts w:cs="Arial"/>
        </w:rPr>
        <w:t xml:space="preserve"> which would be available to support organisational transformational activity as identified by the review work in 2020/21.  </w:t>
      </w:r>
      <w:r w:rsidRPr="00E512C5">
        <w:rPr>
          <w:rFonts w:cs="Arial"/>
        </w:rPr>
        <w:t>The main reasons for the changes to the position are as follows:</w:t>
      </w:r>
    </w:p>
    <w:p w14:paraId="3EE216C8" w14:textId="77777777" w:rsidR="00AB4589" w:rsidRPr="00406143" w:rsidRDefault="00AB4589" w:rsidP="00AB4589">
      <w:pPr>
        <w:tabs>
          <w:tab w:val="left" w:pos="567"/>
          <w:tab w:val="left" w:pos="1134"/>
        </w:tabs>
        <w:spacing w:after="0"/>
        <w:rPr>
          <w:rFonts w:cs="Arial"/>
        </w:rPr>
      </w:pPr>
    </w:p>
    <w:p w14:paraId="0290C124" w14:textId="284CFE48" w:rsidR="00AB4589" w:rsidRPr="00417E62" w:rsidRDefault="00AB4589" w:rsidP="00AB4589">
      <w:pPr>
        <w:pStyle w:val="ListParagraph"/>
        <w:numPr>
          <w:ilvl w:val="0"/>
          <w:numId w:val="44"/>
        </w:numPr>
        <w:tabs>
          <w:tab w:val="left" w:pos="567"/>
          <w:tab w:val="left" w:pos="1134"/>
        </w:tabs>
        <w:spacing w:after="0"/>
        <w:rPr>
          <w:rFonts w:cs="Arial"/>
        </w:rPr>
      </w:pPr>
      <w:r w:rsidRPr="00417E62">
        <w:rPr>
          <w:rFonts w:cs="Arial"/>
        </w:rPr>
        <w:t xml:space="preserve">Increased funding expectations in the light of the </w:t>
      </w:r>
      <w:r>
        <w:rPr>
          <w:rFonts w:cs="Arial"/>
        </w:rPr>
        <w:t>provisional settlement</w:t>
      </w:r>
      <w:r w:rsidRPr="00417E62">
        <w:rPr>
          <w:rFonts w:cs="Arial"/>
        </w:rPr>
        <w:t xml:space="preserve"> announced on the </w:t>
      </w:r>
      <w:r>
        <w:rPr>
          <w:rFonts w:cs="Arial"/>
        </w:rPr>
        <w:t>20</w:t>
      </w:r>
      <w:r w:rsidRPr="00417E62">
        <w:rPr>
          <w:rFonts w:cs="Arial"/>
          <w:vertAlign w:val="superscript"/>
        </w:rPr>
        <w:t>th</w:t>
      </w:r>
      <w:r w:rsidRPr="00417E62">
        <w:rPr>
          <w:rFonts w:cs="Arial"/>
        </w:rPr>
        <w:t xml:space="preserve"> </w:t>
      </w:r>
      <w:r>
        <w:rPr>
          <w:rFonts w:cs="Arial"/>
        </w:rPr>
        <w:t>Dec</w:t>
      </w:r>
      <w:r w:rsidRPr="00417E62">
        <w:rPr>
          <w:rFonts w:cs="Arial"/>
        </w:rPr>
        <w:t xml:space="preserve">ember 2019 with the retention of the </w:t>
      </w:r>
      <w:r>
        <w:rPr>
          <w:rFonts w:cs="Arial"/>
        </w:rPr>
        <w:t>r</w:t>
      </w:r>
      <w:r w:rsidRPr="00417E62">
        <w:rPr>
          <w:rFonts w:cs="Arial"/>
        </w:rPr>
        <w:t xml:space="preserve">evenue </w:t>
      </w:r>
      <w:r>
        <w:rPr>
          <w:rFonts w:cs="Arial"/>
        </w:rPr>
        <w:t>s</w:t>
      </w:r>
      <w:r w:rsidRPr="00417E62">
        <w:rPr>
          <w:rFonts w:cs="Arial"/>
        </w:rPr>
        <w:t xml:space="preserve">upport </w:t>
      </w:r>
      <w:r>
        <w:rPr>
          <w:rFonts w:cs="Arial"/>
        </w:rPr>
        <w:t>g</w:t>
      </w:r>
      <w:r w:rsidRPr="00417E62">
        <w:rPr>
          <w:rFonts w:cs="Arial"/>
        </w:rPr>
        <w:t xml:space="preserve">rant, a new </w:t>
      </w:r>
      <w:r>
        <w:rPr>
          <w:rFonts w:cs="Arial"/>
        </w:rPr>
        <w:t>s</w:t>
      </w:r>
      <w:r w:rsidRPr="00417E62">
        <w:rPr>
          <w:rFonts w:cs="Arial"/>
        </w:rPr>
        <w:t xml:space="preserve">ocial </w:t>
      </w:r>
      <w:r>
        <w:rPr>
          <w:rFonts w:cs="Arial"/>
        </w:rPr>
        <w:t>c</w:t>
      </w:r>
      <w:r w:rsidRPr="00417E62">
        <w:rPr>
          <w:rFonts w:cs="Arial"/>
        </w:rPr>
        <w:t xml:space="preserve">are </w:t>
      </w:r>
      <w:r>
        <w:rPr>
          <w:rFonts w:cs="Arial"/>
        </w:rPr>
        <w:t>g</w:t>
      </w:r>
      <w:r w:rsidRPr="00417E62">
        <w:rPr>
          <w:rFonts w:cs="Arial"/>
        </w:rPr>
        <w:t xml:space="preserve">rant and a one year </w:t>
      </w:r>
      <w:r>
        <w:rPr>
          <w:rFonts w:cs="Arial"/>
        </w:rPr>
        <w:t>a</w:t>
      </w:r>
      <w:r w:rsidRPr="00417E62">
        <w:rPr>
          <w:rFonts w:cs="Arial"/>
        </w:rPr>
        <w:t xml:space="preserve">dult </w:t>
      </w:r>
      <w:r>
        <w:rPr>
          <w:rFonts w:cs="Arial"/>
        </w:rPr>
        <w:t>s</w:t>
      </w:r>
      <w:r w:rsidRPr="00417E62">
        <w:rPr>
          <w:rFonts w:cs="Arial"/>
        </w:rPr>
        <w:t xml:space="preserve">ocial </w:t>
      </w:r>
      <w:r>
        <w:rPr>
          <w:rFonts w:cs="Arial"/>
        </w:rPr>
        <w:t>c</w:t>
      </w:r>
      <w:r w:rsidRPr="00417E62">
        <w:rPr>
          <w:rFonts w:cs="Arial"/>
        </w:rPr>
        <w:t xml:space="preserve">are precept </w:t>
      </w:r>
      <w:r>
        <w:rPr>
          <w:rFonts w:cs="Arial"/>
        </w:rPr>
        <w:t xml:space="preserve">contributing to the </w:t>
      </w:r>
      <w:r w:rsidRPr="00417E62">
        <w:rPr>
          <w:rFonts w:cs="Arial"/>
        </w:rPr>
        <w:t>add</w:t>
      </w:r>
      <w:r>
        <w:rPr>
          <w:rFonts w:cs="Arial"/>
        </w:rPr>
        <w:t>ition of</w:t>
      </w:r>
      <w:r w:rsidRPr="00417E62">
        <w:rPr>
          <w:rFonts w:cs="Arial"/>
        </w:rPr>
        <w:t xml:space="preserve"> £63.256m of resources into the budget.</w:t>
      </w:r>
    </w:p>
    <w:p w14:paraId="064E2453" w14:textId="76D1CFD2" w:rsidR="00AB4589" w:rsidRPr="00417E62" w:rsidRDefault="00AB4589" w:rsidP="00AB4589">
      <w:pPr>
        <w:pStyle w:val="ListParagraph"/>
        <w:numPr>
          <w:ilvl w:val="0"/>
          <w:numId w:val="44"/>
        </w:numPr>
        <w:tabs>
          <w:tab w:val="left" w:pos="567"/>
          <w:tab w:val="left" w:pos="1134"/>
        </w:tabs>
        <w:spacing w:after="0"/>
        <w:rPr>
          <w:rFonts w:cs="Arial"/>
        </w:rPr>
      </w:pPr>
      <w:r>
        <w:rPr>
          <w:rFonts w:cs="Arial"/>
        </w:rPr>
        <w:t>Net a</w:t>
      </w:r>
      <w:r w:rsidRPr="00417E62">
        <w:rPr>
          <w:rFonts w:cs="Arial"/>
        </w:rPr>
        <w:t>dditional savings of</w:t>
      </w:r>
      <w:r>
        <w:rPr>
          <w:rFonts w:cs="Arial"/>
        </w:rPr>
        <w:t xml:space="preserve"> </w:t>
      </w:r>
      <w:r w:rsidRPr="00417E62">
        <w:rPr>
          <w:rFonts w:cs="Arial"/>
        </w:rPr>
        <w:t>£</w:t>
      </w:r>
      <w:r>
        <w:rPr>
          <w:rFonts w:cs="Arial"/>
        </w:rPr>
        <w:t>6</w:t>
      </w:r>
      <w:r w:rsidRPr="00417E62">
        <w:rPr>
          <w:rFonts w:cs="Arial"/>
        </w:rPr>
        <w:t>.</w:t>
      </w:r>
      <w:r>
        <w:rPr>
          <w:rFonts w:cs="Arial"/>
        </w:rPr>
        <w:t>812</w:t>
      </w:r>
      <w:r w:rsidRPr="00417E62">
        <w:rPr>
          <w:rFonts w:cs="Arial"/>
        </w:rPr>
        <w:t>m</w:t>
      </w:r>
      <w:r>
        <w:rPr>
          <w:rFonts w:cs="Arial"/>
        </w:rPr>
        <w:t xml:space="preserve"> (rising to £10.031m by 2025/26)</w:t>
      </w:r>
      <w:r w:rsidRPr="00417E62">
        <w:rPr>
          <w:rFonts w:cs="Arial"/>
        </w:rPr>
        <w:t xml:space="preserve"> forecast to be delivered by the adoption of the </w:t>
      </w:r>
      <w:r>
        <w:rPr>
          <w:rFonts w:cs="Arial"/>
        </w:rPr>
        <w:t>Lancashire f</w:t>
      </w:r>
      <w:r w:rsidRPr="00417E62">
        <w:rPr>
          <w:rFonts w:cs="Arial"/>
        </w:rPr>
        <w:t xml:space="preserve">amily </w:t>
      </w:r>
      <w:r>
        <w:rPr>
          <w:rFonts w:cs="Arial"/>
        </w:rPr>
        <w:t>s</w:t>
      </w:r>
      <w:r w:rsidRPr="00417E62">
        <w:rPr>
          <w:rFonts w:cs="Arial"/>
        </w:rPr>
        <w:t xml:space="preserve">afeguarding </w:t>
      </w:r>
      <w:r>
        <w:rPr>
          <w:rFonts w:cs="Arial"/>
        </w:rPr>
        <w:t>m</w:t>
      </w:r>
      <w:r w:rsidRPr="00417E62">
        <w:rPr>
          <w:rFonts w:cs="Arial"/>
        </w:rPr>
        <w:t xml:space="preserve">odel following a successful bid for funding from the </w:t>
      </w:r>
      <w:r w:rsidR="00C61025">
        <w:rPr>
          <w:rFonts w:cs="Arial"/>
        </w:rPr>
        <w:t>D</w:t>
      </w:r>
      <w:r w:rsidRPr="00417E62">
        <w:rPr>
          <w:rFonts w:cs="Arial"/>
        </w:rPr>
        <w:t xml:space="preserve">epartment </w:t>
      </w:r>
      <w:r w:rsidR="00C61025">
        <w:rPr>
          <w:rFonts w:cs="Arial"/>
        </w:rPr>
        <w:t>f</w:t>
      </w:r>
      <w:r w:rsidRPr="00417E62">
        <w:rPr>
          <w:rFonts w:cs="Arial"/>
        </w:rPr>
        <w:t xml:space="preserve">or </w:t>
      </w:r>
      <w:r w:rsidR="00C61025">
        <w:rPr>
          <w:rFonts w:cs="Arial"/>
        </w:rPr>
        <w:t>E</w:t>
      </w:r>
      <w:r w:rsidRPr="00417E62">
        <w:rPr>
          <w:rFonts w:cs="Arial"/>
        </w:rPr>
        <w:t xml:space="preserve">ducation. </w:t>
      </w:r>
    </w:p>
    <w:p w14:paraId="7ED43800" w14:textId="77777777" w:rsidR="00AB4589" w:rsidRPr="00417E62" w:rsidRDefault="00AB4589" w:rsidP="00AB4589">
      <w:pPr>
        <w:pStyle w:val="ListParagraph"/>
        <w:numPr>
          <w:ilvl w:val="0"/>
          <w:numId w:val="44"/>
        </w:numPr>
        <w:tabs>
          <w:tab w:val="left" w:pos="567"/>
          <w:tab w:val="left" w:pos="1134"/>
        </w:tabs>
        <w:spacing w:after="0"/>
        <w:rPr>
          <w:rFonts w:cs="Arial"/>
        </w:rPr>
      </w:pPr>
      <w:r w:rsidRPr="00417E62">
        <w:rPr>
          <w:rFonts w:cs="Arial"/>
        </w:rPr>
        <w:t>Service demand and volume changes and inflation and cost changes have increased costs by a net sum of £</w:t>
      </w:r>
      <w:r>
        <w:rPr>
          <w:rFonts w:cs="Arial"/>
        </w:rPr>
        <w:t>5.034</w:t>
      </w:r>
      <w:r w:rsidRPr="00417E62">
        <w:rPr>
          <w:rFonts w:cs="Arial"/>
        </w:rPr>
        <w:t xml:space="preserve">m.  This is primarily the outcome of increases in the levels of demand across services such as children's social care and transport, offset by some service cost adjustments due to changes to service configuration, particularly in relation to support service delivery models.   </w:t>
      </w:r>
    </w:p>
    <w:p w14:paraId="2E756382" w14:textId="77777777" w:rsidR="00AB4589" w:rsidRPr="00417E62" w:rsidRDefault="00AB4589" w:rsidP="00AB4589">
      <w:pPr>
        <w:pStyle w:val="ListParagraph"/>
        <w:numPr>
          <w:ilvl w:val="0"/>
          <w:numId w:val="44"/>
        </w:numPr>
        <w:tabs>
          <w:tab w:val="left" w:pos="567"/>
          <w:tab w:val="left" w:pos="1134"/>
        </w:tabs>
        <w:spacing w:after="0"/>
        <w:rPr>
          <w:rFonts w:cs="Arial"/>
        </w:rPr>
      </w:pPr>
      <w:r w:rsidRPr="00417E62">
        <w:rPr>
          <w:rFonts w:cs="Arial"/>
        </w:rPr>
        <w:t>Service cost adjustments of £</w:t>
      </w:r>
      <w:r>
        <w:rPr>
          <w:rFonts w:cs="Arial"/>
        </w:rPr>
        <w:t>2</w:t>
      </w:r>
      <w:r w:rsidRPr="00417E62">
        <w:rPr>
          <w:rFonts w:cs="Arial"/>
        </w:rPr>
        <w:t>.</w:t>
      </w:r>
      <w:r>
        <w:rPr>
          <w:rFonts w:cs="Arial"/>
        </w:rPr>
        <w:t>744</w:t>
      </w:r>
      <w:r w:rsidRPr="00417E62">
        <w:rPr>
          <w:rFonts w:cs="Arial"/>
        </w:rPr>
        <w:t xml:space="preserve">m reflecting </w:t>
      </w:r>
      <w:r>
        <w:rPr>
          <w:rFonts w:cs="Arial"/>
        </w:rPr>
        <w:t xml:space="preserve">the investment needed to support service challenge savings and one off funding of c£2.200m to deliver the adult social care management information system reconfiguration. </w:t>
      </w:r>
    </w:p>
    <w:p w14:paraId="6877452C" w14:textId="3BDC59DF" w:rsidR="00AB4589" w:rsidRPr="00417E62" w:rsidRDefault="00AB4589" w:rsidP="00AB4589">
      <w:pPr>
        <w:pStyle w:val="ListParagraph"/>
        <w:numPr>
          <w:ilvl w:val="0"/>
          <w:numId w:val="44"/>
        </w:numPr>
        <w:tabs>
          <w:tab w:val="left" w:pos="567"/>
          <w:tab w:val="left" w:pos="1134"/>
        </w:tabs>
        <w:spacing w:after="0"/>
        <w:rPr>
          <w:rFonts w:cs="Arial"/>
        </w:rPr>
      </w:pPr>
      <w:r w:rsidRPr="00417E62">
        <w:rPr>
          <w:rFonts w:cs="Arial"/>
        </w:rPr>
        <w:t xml:space="preserve">Undeliverable </w:t>
      </w:r>
      <w:r w:rsidR="00C30050">
        <w:rPr>
          <w:rFonts w:cs="Arial"/>
        </w:rPr>
        <w:t>£8.928m</w:t>
      </w:r>
      <w:r w:rsidR="00DD07ED">
        <w:rPr>
          <w:rFonts w:cs="Arial"/>
        </w:rPr>
        <w:t>,</w:t>
      </w:r>
      <w:r w:rsidR="00C30050">
        <w:rPr>
          <w:rFonts w:cs="Arial"/>
        </w:rPr>
        <w:t xml:space="preserve"> </w:t>
      </w:r>
      <w:r>
        <w:rPr>
          <w:rFonts w:cs="Arial"/>
        </w:rPr>
        <w:t xml:space="preserve">and re-profiled </w:t>
      </w:r>
      <w:r w:rsidRPr="00417E62">
        <w:rPr>
          <w:rFonts w:cs="Arial"/>
        </w:rPr>
        <w:t xml:space="preserve">savings </w:t>
      </w:r>
      <w:r w:rsidR="00C30050">
        <w:rPr>
          <w:rFonts w:cs="Arial"/>
        </w:rPr>
        <w:t xml:space="preserve">£3.025m </w:t>
      </w:r>
      <w:r>
        <w:rPr>
          <w:rFonts w:cs="Arial"/>
        </w:rPr>
        <w:t>across the council.</w:t>
      </w:r>
    </w:p>
    <w:p w14:paraId="42A585BF" w14:textId="77777777" w:rsidR="00AB4589" w:rsidRPr="00AA4937" w:rsidRDefault="00AB4589" w:rsidP="00AB4589">
      <w:pPr>
        <w:pStyle w:val="ListParagraph"/>
        <w:tabs>
          <w:tab w:val="left" w:pos="567"/>
          <w:tab w:val="left" w:pos="1134"/>
        </w:tabs>
        <w:spacing w:after="0"/>
        <w:ind w:left="927"/>
        <w:rPr>
          <w:rFonts w:cs="Arial"/>
        </w:rPr>
      </w:pPr>
    </w:p>
    <w:p w14:paraId="6308C547" w14:textId="56FA335A" w:rsidR="00AB4589" w:rsidRPr="00A43F7C" w:rsidRDefault="00AB4589" w:rsidP="00AB4589">
      <w:pPr>
        <w:rPr>
          <w:rFonts w:cs="Arial"/>
        </w:rPr>
      </w:pPr>
      <w:r w:rsidRPr="00A43F7C">
        <w:rPr>
          <w:rFonts w:cs="Arial"/>
        </w:rPr>
        <w:lastRenderedPageBreak/>
        <w:t xml:space="preserve">Although the forecast indicates a balanced budget in 2020/21 without recourse to reserves, the position </w:t>
      </w:r>
      <w:r w:rsidR="00C61025" w:rsidRPr="00C61025">
        <w:rPr>
          <w:rFonts w:cs="Arial"/>
        </w:rPr>
        <w:t>over the 4 year period indicates a structural deficit of £28.438m by 2023/24</w:t>
      </w:r>
      <w:r w:rsidRPr="00A43F7C">
        <w:rPr>
          <w:rFonts w:cs="Arial"/>
        </w:rPr>
        <w:t xml:space="preserve">, which varies over each of the 4 years shown in Table 1. Work is progressing on phase two of the service challenge process which will seek to address the ongoing deficit and is focusing on a number of cross-cutting work streams and areas for investigation identified in the initial phase, but where further work is needed to robustly evidence the scale and form of proposals.  In particular, service challenge phase 2 is focused on the complex levers required to create an environment where service configuration and operational practice reflects best in class and supports demand management which is the single biggest driver on our costs. Further saving proposals will come forward for consideration at future cabinet meetings.  </w:t>
      </w:r>
    </w:p>
    <w:p w14:paraId="62852D47" w14:textId="77777777" w:rsidR="00AB4589" w:rsidRPr="00AA4937" w:rsidRDefault="00AB4589" w:rsidP="00AB4589">
      <w:pPr>
        <w:tabs>
          <w:tab w:val="left" w:pos="567"/>
          <w:tab w:val="left" w:pos="1134"/>
        </w:tabs>
        <w:spacing w:after="0"/>
        <w:rPr>
          <w:rFonts w:cs="Arial"/>
        </w:rPr>
      </w:pPr>
      <w:r w:rsidRPr="00AA4937">
        <w:rPr>
          <w:rFonts w:cs="Arial"/>
        </w:rPr>
        <w:t xml:space="preserve">  </w:t>
      </w:r>
    </w:p>
    <w:p w14:paraId="2A26D9A1" w14:textId="77777777" w:rsidR="00AB4589" w:rsidRPr="00AA4937" w:rsidRDefault="00AB4589" w:rsidP="00AB4589">
      <w:pPr>
        <w:autoSpaceDE/>
        <w:autoSpaceDN/>
        <w:adjustRightInd/>
        <w:spacing w:after="0"/>
        <w:textAlignment w:val="baseline"/>
        <w:rPr>
          <w:rFonts w:cs="Arial"/>
        </w:rPr>
      </w:pPr>
      <w:r w:rsidRPr="00AA4937">
        <w:rPr>
          <w:rFonts w:cs="Arial"/>
        </w:rPr>
        <w:t>The revised funding gap also makes assumptions about future funding levels and there remains significant uncertainty about this post 20</w:t>
      </w:r>
      <w:r>
        <w:rPr>
          <w:rFonts w:cs="Arial"/>
        </w:rPr>
        <w:t>20</w:t>
      </w:r>
      <w:r w:rsidRPr="00AA4937">
        <w:rPr>
          <w:rFonts w:cs="Arial"/>
        </w:rPr>
        <w:t>/2</w:t>
      </w:r>
      <w:r>
        <w:rPr>
          <w:rFonts w:cs="Arial"/>
        </w:rPr>
        <w:t>1</w:t>
      </w:r>
      <w:r w:rsidRPr="00AA4937">
        <w:rPr>
          <w:rFonts w:cs="Arial"/>
        </w:rPr>
        <w:t xml:space="preserve"> with changes to be made in respect of business rates retention, the overall funding formula, the anticipated green paper on adult social care and, of course, any government spending review. </w:t>
      </w:r>
    </w:p>
    <w:p w14:paraId="2F77D15A" w14:textId="77777777" w:rsidR="00AB4589" w:rsidRPr="00AA4937" w:rsidRDefault="00AB4589" w:rsidP="00AB4589">
      <w:pPr>
        <w:autoSpaceDE/>
        <w:autoSpaceDN/>
        <w:adjustRightInd/>
        <w:spacing w:after="0"/>
        <w:textAlignment w:val="baseline"/>
        <w:rPr>
          <w:rFonts w:cs="Arial"/>
        </w:rPr>
      </w:pPr>
    </w:p>
    <w:p w14:paraId="22A737B3" w14:textId="77777777" w:rsidR="00AB4589" w:rsidRPr="00B516A9" w:rsidRDefault="00AB4589" w:rsidP="00AB4589">
      <w:pPr>
        <w:autoSpaceDE/>
        <w:autoSpaceDN/>
        <w:adjustRightInd/>
        <w:spacing w:after="0"/>
        <w:textAlignment w:val="baseline"/>
        <w:rPr>
          <w:rFonts w:cs="Arial"/>
        </w:rPr>
      </w:pPr>
      <w:r w:rsidRPr="00B516A9">
        <w:rPr>
          <w:rFonts w:cs="Arial"/>
        </w:rPr>
        <w:t xml:space="preserve">The value of the uncommitted transitional reserve is currently forecast to be sufficient to meet the identified funding gaps beyond the period of this MTFS, which provides time to address the structural deficit in a considered and sustainable way. The intention remains to identify continued savings and deliver a financially sustainable position for the council.  </w:t>
      </w:r>
    </w:p>
    <w:p w14:paraId="041084E1" w14:textId="77777777" w:rsidR="00AB4589" w:rsidRPr="00813473" w:rsidRDefault="00AB4589" w:rsidP="00AB4589">
      <w:pPr>
        <w:tabs>
          <w:tab w:val="left" w:pos="567"/>
          <w:tab w:val="left" w:pos="1134"/>
        </w:tabs>
        <w:spacing w:after="0"/>
        <w:rPr>
          <w:rFonts w:cs="Arial"/>
          <w:highlight w:val="yellow"/>
        </w:rPr>
      </w:pPr>
    </w:p>
    <w:p w14:paraId="08C65DB8" w14:textId="77777777" w:rsidR="00AB4589" w:rsidRDefault="00AB4589" w:rsidP="00AB4589">
      <w:pPr>
        <w:spacing w:after="0"/>
        <w:rPr>
          <w:rFonts w:cs="Arial"/>
        </w:rPr>
      </w:pPr>
      <w:r w:rsidRPr="00AA4937">
        <w:rPr>
          <w:rFonts w:cs="Arial"/>
        </w:rPr>
        <w:t xml:space="preserve">The table </w:t>
      </w:r>
      <w:r>
        <w:rPr>
          <w:rFonts w:cs="Arial"/>
        </w:rPr>
        <w:t>below</w:t>
      </w:r>
      <w:r w:rsidRPr="00AA4937">
        <w:rPr>
          <w:rFonts w:cs="Arial"/>
        </w:rPr>
        <w:t xml:space="preserve"> provides a detailed analysis of movements between the previously reported financial gap and the revised financial gap:</w:t>
      </w:r>
    </w:p>
    <w:p w14:paraId="3D06153D" w14:textId="77777777" w:rsidR="00AB4589" w:rsidRDefault="00AB4589" w:rsidP="00AB4589">
      <w:pPr>
        <w:spacing w:after="0"/>
        <w:rPr>
          <w:rFonts w:cs="Arial"/>
        </w:rPr>
      </w:pPr>
    </w:p>
    <w:p w14:paraId="2D69A43F" w14:textId="77777777" w:rsidR="00AB4589" w:rsidRDefault="00AB4589" w:rsidP="00AB4589">
      <w:pPr>
        <w:spacing w:after="0"/>
        <w:rPr>
          <w:rFonts w:cs="Arial"/>
        </w:rPr>
      </w:pPr>
    </w:p>
    <w:p w14:paraId="48CECB9E" w14:textId="77777777" w:rsidR="00AB4589" w:rsidRDefault="00AB4589" w:rsidP="00AB4589">
      <w:pPr>
        <w:spacing w:after="0"/>
        <w:rPr>
          <w:rFonts w:cs="Arial"/>
        </w:rPr>
      </w:pPr>
    </w:p>
    <w:p w14:paraId="40665838" w14:textId="77777777" w:rsidR="00AB4589" w:rsidRDefault="00AB4589" w:rsidP="00AB4589">
      <w:pPr>
        <w:spacing w:after="0"/>
        <w:rPr>
          <w:rFonts w:cs="Arial"/>
        </w:rPr>
      </w:pPr>
    </w:p>
    <w:p w14:paraId="315344CC" w14:textId="77777777" w:rsidR="00AB4589" w:rsidRDefault="00AB4589" w:rsidP="00AB4589">
      <w:pPr>
        <w:spacing w:after="0"/>
        <w:rPr>
          <w:rFonts w:cs="Arial"/>
        </w:rPr>
      </w:pPr>
    </w:p>
    <w:p w14:paraId="62830187" w14:textId="77777777" w:rsidR="00AB4589" w:rsidRDefault="00AB4589" w:rsidP="00AB4589">
      <w:pPr>
        <w:spacing w:after="0"/>
        <w:rPr>
          <w:rFonts w:cs="Arial"/>
        </w:rPr>
      </w:pPr>
    </w:p>
    <w:p w14:paraId="56DE7374" w14:textId="77777777" w:rsidR="00AB4589" w:rsidRDefault="00AB4589" w:rsidP="00AB4589">
      <w:pPr>
        <w:spacing w:after="0"/>
        <w:rPr>
          <w:rFonts w:cs="Arial"/>
        </w:rPr>
      </w:pPr>
    </w:p>
    <w:p w14:paraId="2F001A0F" w14:textId="77777777" w:rsidR="00AB4589" w:rsidRDefault="00AB4589" w:rsidP="00AB4589">
      <w:pPr>
        <w:spacing w:after="0"/>
        <w:rPr>
          <w:rFonts w:cs="Arial"/>
        </w:rPr>
      </w:pPr>
    </w:p>
    <w:p w14:paraId="31F48106" w14:textId="77777777" w:rsidR="00AB4589" w:rsidRDefault="00AB4589" w:rsidP="00AB4589">
      <w:pPr>
        <w:spacing w:after="0"/>
        <w:rPr>
          <w:rFonts w:cs="Arial"/>
        </w:rPr>
      </w:pPr>
    </w:p>
    <w:p w14:paraId="0C069947" w14:textId="77777777" w:rsidR="00AB4589" w:rsidRDefault="00AB4589" w:rsidP="00AB4589">
      <w:pPr>
        <w:spacing w:after="0"/>
        <w:rPr>
          <w:rFonts w:cs="Arial"/>
        </w:rPr>
      </w:pPr>
    </w:p>
    <w:p w14:paraId="7432E0F4" w14:textId="77777777" w:rsidR="00AB4589" w:rsidRDefault="00AB4589" w:rsidP="00AB4589">
      <w:pPr>
        <w:spacing w:after="0"/>
        <w:rPr>
          <w:rFonts w:cs="Arial"/>
        </w:rPr>
      </w:pPr>
    </w:p>
    <w:p w14:paraId="5EECD844" w14:textId="77777777" w:rsidR="00AB4589" w:rsidRDefault="00AB4589" w:rsidP="00AB4589">
      <w:pPr>
        <w:spacing w:after="0"/>
        <w:rPr>
          <w:rFonts w:cs="Arial"/>
        </w:rPr>
      </w:pPr>
    </w:p>
    <w:p w14:paraId="3F318AA3" w14:textId="77777777" w:rsidR="00AB4589" w:rsidRDefault="00AB4589" w:rsidP="00AB4589">
      <w:pPr>
        <w:spacing w:after="0"/>
        <w:rPr>
          <w:rFonts w:cs="Arial"/>
        </w:rPr>
      </w:pPr>
    </w:p>
    <w:p w14:paraId="6AA05233" w14:textId="77777777" w:rsidR="00AB4589" w:rsidRDefault="00AB4589" w:rsidP="00AB4589">
      <w:pPr>
        <w:spacing w:after="0"/>
        <w:rPr>
          <w:rFonts w:cs="Arial"/>
        </w:rPr>
      </w:pPr>
    </w:p>
    <w:p w14:paraId="237E5734" w14:textId="77777777" w:rsidR="00AB4589" w:rsidRDefault="00AB4589" w:rsidP="00AB4589">
      <w:pPr>
        <w:spacing w:after="0"/>
        <w:rPr>
          <w:rFonts w:cs="Arial"/>
        </w:rPr>
      </w:pPr>
    </w:p>
    <w:p w14:paraId="40E43637" w14:textId="77777777" w:rsidR="00AB4589" w:rsidRDefault="00AB4589" w:rsidP="00AB4589">
      <w:pPr>
        <w:spacing w:after="0"/>
        <w:rPr>
          <w:rFonts w:cs="Arial"/>
        </w:rPr>
      </w:pPr>
    </w:p>
    <w:p w14:paraId="0E00AB08" w14:textId="77777777" w:rsidR="00AB4589" w:rsidRDefault="00AB4589" w:rsidP="00AB4589">
      <w:pPr>
        <w:spacing w:after="0"/>
        <w:rPr>
          <w:rFonts w:cs="Arial"/>
        </w:rPr>
      </w:pPr>
    </w:p>
    <w:p w14:paraId="4AAE1D95" w14:textId="77777777" w:rsidR="00AB4589" w:rsidRDefault="00AB4589" w:rsidP="00AB4589">
      <w:pPr>
        <w:spacing w:after="0"/>
        <w:rPr>
          <w:rFonts w:cs="Arial"/>
        </w:rPr>
      </w:pPr>
    </w:p>
    <w:p w14:paraId="14B1C881" w14:textId="77777777" w:rsidR="00AB4589" w:rsidRDefault="00AB4589" w:rsidP="00AB4589">
      <w:pPr>
        <w:spacing w:after="0"/>
        <w:rPr>
          <w:rFonts w:cs="Arial"/>
        </w:rPr>
      </w:pPr>
    </w:p>
    <w:p w14:paraId="0365BB82" w14:textId="77777777" w:rsidR="00AB4589" w:rsidRDefault="00AB4589" w:rsidP="00AB4589">
      <w:pPr>
        <w:spacing w:after="0"/>
        <w:rPr>
          <w:rFonts w:cs="Arial"/>
        </w:rPr>
      </w:pPr>
    </w:p>
    <w:p w14:paraId="70D71801" w14:textId="77777777" w:rsidR="00AB4589" w:rsidRDefault="00AB4589" w:rsidP="00AB4589">
      <w:pPr>
        <w:spacing w:after="0"/>
        <w:rPr>
          <w:rFonts w:cs="Arial"/>
        </w:rPr>
      </w:pPr>
    </w:p>
    <w:p w14:paraId="06C0DDE5" w14:textId="77777777" w:rsidR="00AB4589" w:rsidRDefault="00AB4589" w:rsidP="00AB4589">
      <w:pPr>
        <w:spacing w:after="0"/>
        <w:rPr>
          <w:rFonts w:cs="Arial"/>
        </w:rPr>
      </w:pPr>
    </w:p>
    <w:p w14:paraId="300D53AA" w14:textId="77777777" w:rsidR="00AB4589" w:rsidRDefault="00AB4589" w:rsidP="00AB4589">
      <w:pPr>
        <w:spacing w:after="0"/>
        <w:rPr>
          <w:rFonts w:cs="Arial"/>
        </w:rPr>
      </w:pPr>
    </w:p>
    <w:p w14:paraId="0A4F6073" w14:textId="77777777" w:rsidR="00AB4589" w:rsidRDefault="00AB4589" w:rsidP="00AB4589">
      <w:pPr>
        <w:spacing w:after="0"/>
        <w:rPr>
          <w:rFonts w:cs="Arial"/>
        </w:rPr>
      </w:pPr>
    </w:p>
    <w:p w14:paraId="2233DE64" w14:textId="77777777" w:rsidR="00AB4589" w:rsidRDefault="00AB4589" w:rsidP="00AB4589">
      <w:pPr>
        <w:spacing w:after="0"/>
        <w:rPr>
          <w:rFonts w:cs="Arial"/>
        </w:rPr>
      </w:pPr>
    </w:p>
    <w:p w14:paraId="3AE76829" w14:textId="77777777" w:rsidR="00AB4589" w:rsidRPr="00406143" w:rsidRDefault="00AB4589" w:rsidP="00AB4589">
      <w:pPr>
        <w:spacing w:after="0"/>
        <w:rPr>
          <w:rFonts w:cs="Arial"/>
        </w:rPr>
      </w:pPr>
      <w:r w:rsidRPr="00406143">
        <w:rPr>
          <w:rFonts w:cs="Arial"/>
          <w:b/>
          <w:i/>
          <w:u w:val="single"/>
        </w:rPr>
        <w:lastRenderedPageBreak/>
        <w:t>Table 1</w:t>
      </w:r>
    </w:p>
    <w:p w14:paraId="5A93D1D2" w14:textId="77777777" w:rsidR="00AB4589" w:rsidRDefault="00AB4589" w:rsidP="00AB4589">
      <w:pPr>
        <w:tabs>
          <w:tab w:val="left" w:pos="567"/>
          <w:tab w:val="left" w:pos="1134"/>
        </w:tabs>
        <w:spacing w:after="0"/>
        <w:rPr>
          <w:rFonts w:cs="Arial"/>
          <w:b/>
          <w:i/>
          <w:highlight w:val="yellow"/>
          <w:u w:val="single"/>
        </w:rPr>
      </w:pPr>
    </w:p>
    <w:tbl>
      <w:tblPr>
        <w:tblW w:w="9191" w:type="dxa"/>
        <w:tblLook w:val="04A0" w:firstRow="1" w:lastRow="0" w:firstColumn="1" w:lastColumn="0" w:noHBand="0" w:noVBand="1"/>
      </w:tblPr>
      <w:tblGrid>
        <w:gridCol w:w="2823"/>
        <w:gridCol w:w="1430"/>
        <w:gridCol w:w="1355"/>
        <w:gridCol w:w="1244"/>
        <w:gridCol w:w="1244"/>
        <w:gridCol w:w="1095"/>
      </w:tblGrid>
      <w:tr w:rsidR="0015230B" w14:paraId="48144ED1" w14:textId="77777777" w:rsidTr="00AB4589">
        <w:trPr>
          <w:trHeight w:val="278"/>
        </w:trPr>
        <w:tc>
          <w:tcPr>
            <w:tcW w:w="2823" w:type="dxa"/>
            <w:tcBorders>
              <w:top w:val="single" w:sz="8" w:space="0" w:color="auto"/>
              <w:left w:val="single" w:sz="8" w:space="0" w:color="auto"/>
              <w:bottom w:val="nil"/>
              <w:right w:val="single" w:sz="8" w:space="0" w:color="auto"/>
            </w:tcBorders>
            <w:shd w:val="clear" w:color="000000" w:fill="BDD7EE"/>
            <w:hideMark/>
          </w:tcPr>
          <w:p w14:paraId="73E558D3" w14:textId="77777777" w:rsidR="00AB4589" w:rsidRPr="00B516A9" w:rsidRDefault="00AB4589" w:rsidP="00AB4589">
            <w:pPr>
              <w:autoSpaceDE/>
              <w:autoSpaceDN/>
              <w:adjustRightInd/>
              <w:spacing w:after="0"/>
              <w:jc w:val="center"/>
              <w:rPr>
                <w:rFonts w:eastAsia="Times New Roman" w:cs="Arial"/>
                <w:lang w:eastAsia="en-GB"/>
              </w:rPr>
            </w:pPr>
          </w:p>
        </w:tc>
        <w:tc>
          <w:tcPr>
            <w:tcW w:w="1430" w:type="dxa"/>
            <w:tcBorders>
              <w:top w:val="single" w:sz="8" w:space="0" w:color="auto"/>
              <w:left w:val="nil"/>
              <w:bottom w:val="nil"/>
              <w:right w:val="single" w:sz="8" w:space="0" w:color="auto"/>
            </w:tcBorders>
            <w:shd w:val="clear" w:color="000000" w:fill="BDD7EE"/>
            <w:vAlign w:val="center"/>
            <w:hideMark/>
          </w:tcPr>
          <w:p w14:paraId="408D9A4D"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2020/21</w:t>
            </w:r>
          </w:p>
        </w:tc>
        <w:tc>
          <w:tcPr>
            <w:tcW w:w="1355" w:type="dxa"/>
            <w:tcBorders>
              <w:top w:val="single" w:sz="8" w:space="0" w:color="auto"/>
              <w:left w:val="nil"/>
              <w:bottom w:val="nil"/>
              <w:right w:val="single" w:sz="8" w:space="0" w:color="auto"/>
            </w:tcBorders>
            <w:shd w:val="clear" w:color="000000" w:fill="BDD7EE"/>
            <w:vAlign w:val="center"/>
            <w:hideMark/>
          </w:tcPr>
          <w:p w14:paraId="13655B5C"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2021/22</w:t>
            </w:r>
          </w:p>
        </w:tc>
        <w:tc>
          <w:tcPr>
            <w:tcW w:w="1244" w:type="dxa"/>
            <w:tcBorders>
              <w:top w:val="single" w:sz="8" w:space="0" w:color="auto"/>
              <w:left w:val="nil"/>
              <w:bottom w:val="nil"/>
              <w:right w:val="single" w:sz="8" w:space="0" w:color="auto"/>
            </w:tcBorders>
            <w:shd w:val="clear" w:color="000000" w:fill="BDD7EE"/>
            <w:vAlign w:val="center"/>
            <w:hideMark/>
          </w:tcPr>
          <w:p w14:paraId="326E94AA"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2022/23</w:t>
            </w:r>
          </w:p>
        </w:tc>
        <w:tc>
          <w:tcPr>
            <w:tcW w:w="1244" w:type="dxa"/>
            <w:tcBorders>
              <w:top w:val="single" w:sz="8" w:space="0" w:color="auto"/>
              <w:left w:val="nil"/>
              <w:bottom w:val="nil"/>
              <w:right w:val="single" w:sz="8" w:space="0" w:color="auto"/>
            </w:tcBorders>
            <w:shd w:val="clear" w:color="000000" w:fill="BDD7EE"/>
            <w:vAlign w:val="center"/>
            <w:hideMark/>
          </w:tcPr>
          <w:p w14:paraId="574A1918"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2023/24</w:t>
            </w:r>
          </w:p>
        </w:tc>
        <w:tc>
          <w:tcPr>
            <w:tcW w:w="1095" w:type="dxa"/>
            <w:tcBorders>
              <w:top w:val="single" w:sz="8" w:space="0" w:color="auto"/>
              <w:left w:val="nil"/>
              <w:bottom w:val="nil"/>
              <w:right w:val="single" w:sz="8" w:space="0" w:color="auto"/>
            </w:tcBorders>
            <w:shd w:val="clear" w:color="000000" w:fill="BDD7EE"/>
            <w:vAlign w:val="center"/>
            <w:hideMark/>
          </w:tcPr>
          <w:p w14:paraId="50B197AB"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Total</w:t>
            </w:r>
          </w:p>
        </w:tc>
      </w:tr>
      <w:tr w:rsidR="0015230B" w14:paraId="5FCDABE4" w14:textId="77777777" w:rsidTr="00AB4589">
        <w:trPr>
          <w:trHeight w:val="292"/>
        </w:trPr>
        <w:tc>
          <w:tcPr>
            <w:tcW w:w="2823" w:type="dxa"/>
            <w:tcBorders>
              <w:top w:val="nil"/>
              <w:left w:val="single" w:sz="8" w:space="0" w:color="auto"/>
              <w:bottom w:val="single" w:sz="8" w:space="0" w:color="auto"/>
              <w:right w:val="single" w:sz="8" w:space="0" w:color="auto"/>
            </w:tcBorders>
            <w:shd w:val="clear" w:color="000000" w:fill="BDD7EE"/>
            <w:hideMark/>
          </w:tcPr>
          <w:p w14:paraId="4E207DA5" w14:textId="77777777" w:rsidR="00AB4589" w:rsidRPr="00B516A9" w:rsidRDefault="00AB4589" w:rsidP="00AB4589">
            <w:pPr>
              <w:autoSpaceDE/>
              <w:autoSpaceDN/>
              <w:adjustRightInd/>
              <w:spacing w:after="0"/>
              <w:jc w:val="center"/>
              <w:rPr>
                <w:rFonts w:eastAsia="Times New Roman" w:cs="Arial"/>
                <w:lang w:eastAsia="en-GB"/>
              </w:rPr>
            </w:pPr>
          </w:p>
        </w:tc>
        <w:tc>
          <w:tcPr>
            <w:tcW w:w="1430" w:type="dxa"/>
            <w:tcBorders>
              <w:top w:val="nil"/>
              <w:left w:val="nil"/>
              <w:bottom w:val="single" w:sz="8" w:space="0" w:color="auto"/>
              <w:right w:val="single" w:sz="8" w:space="0" w:color="auto"/>
            </w:tcBorders>
            <w:shd w:val="clear" w:color="000000" w:fill="BDD7EE"/>
            <w:vAlign w:val="center"/>
            <w:hideMark/>
          </w:tcPr>
          <w:p w14:paraId="4F80F4FD"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£m</w:t>
            </w:r>
          </w:p>
        </w:tc>
        <w:tc>
          <w:tcPr>
            <w:tcW w:w="1355" w:type="dxa"/>
            <w:tcBorders>
              <w:top w:val="nil"/>
              <w:left w:val="nil"/>
              <w:bottom w:val="single" w:sz="8" w:space="0" w:color="auto"/>
              <w:right w:val="single" w:sz="8" w:space="0" w:color="auto"/>
            </w:tcBorders>
            <w:shd w:val="clear" w:color="000000" w:fill="BDD7EE"/>
            <w:vAlign w:val="center"/>
            <w:hideMark/>
          </w:tcPr>
          <w:p w14:paraId="214363C8"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£m</w:t>
            </w:r>
          </w:p>
        </w:tc>
        <w:tc>
          <w:tcPr>
            <w:tcW w:w="1244" w:type="dxa"/>
            <w:tcBorders>
              <w:top w:val="nil"/>
              <w:left w:val="nil"/>
              <w:bottom w:val="single" w:sz="8" w:space="0" w:color="auto"/>
              <w:right w:val="single" w:sz="8" w:space="0" w:color="auto"/>
            </w:tcBorders>
            <w:shd w:val="clear" w:color="000000" w:fill="BDD7EE"/>
            <w:vAlign w:val="center"/>
            <w:hideMark/>
          </w:tcPr>
          <w:p w14:paraId="3157A947"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£m</w:t>
            </w:r>
          </w:p>
        </w:tc>
        <w:tc>
          <w:tcPr>
            <w:tcW w:w="1244" w:type="dxa"/>
            <w:tcBorders>
              <w:top w:val="nil"/>
              <w:left w:val="nil"/>
              <w:bottom w:val="single" w:sz="8" w:space="0" w:color="auto"/>
              <w:right w:val="single" w:sz="8" w:space="0" w:color="auto"/>
            </w:tcBorders>
            <w:shd w:val="clear" w:color="000000" w:fill="BDD7EE"/>
            <w:vAlign w:val="center"/>
            <w:hideMark/>
          </w:tcPr>
          <w:p w14:paraId="0B05D66C"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£m</w:t>
            </w:r>
          </w:p>
        </w:tc>
        <w:tc>
          <w:tcPr>
            <w:tcW w:w="1095" w:type="dxa"/>
            <w:tcBorders>
              <w:top w:val="nil"/>
              <w:left w:val="nil"/>
              <w:bottom w:val="single" w:sz="8" w:space="0" w:color="auto"/>
              <w:right w:val="single" w:sz="8" w:space="0" w:color="auto"/>
            </w:tcBorders>
            <w:shd w:val="clear" w:color="000000" w:fill="BDD7EE"/>
            <w:vAlign w:val="center"/>
            <w:hideMark/>
          </w:tcPr>
          <w:p w14:paraId="79FFA79A"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£m</w:t>
            </w:r>
          </w:p>
        </w:tc>
      </w:tr>
      <w:tr w:rsidR="0015230B" w14:paraId="057C2B56" w14:textId="77777777" w:rsidTr="00AB4589">
        <w:trPr>
          <w:trHeight w:val="571"/>
        </w:trPr>
        <w:tc>
          <w:tcPr>
            <w:tcW w:w="2823" w:type="dxa"/>
            <w:tcBorders>
              <w:top w:val="nil"/>
              <w:left w:val="single" w:sz="8" w:space="0" w:color="auto"/>
              <w:bottom w:val="single" w:sz="8" w:space="0" w:color="auto"/>
              <w:right w:val="single" w:sz="8" w:space="0" w:color="auto"/>
            </w:tcBorders>
            <w:shd w:val="clear" w:color="auto" w:fill="auto"/>
            <w:vAlign w:val="center"/>
            <w:hideMark/>
          </w:tcPr>
          <w:p w14:paraId="704827DC"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Spending Gap as reported to Cabinet</w:t>
            </w:r>
          </w:p>
        </w:tc>
        <w:tc>
          <w:tcPr>
            <w:tcW w:w="1430" w:type="dxa"/>
            <w:tcBorders>
              <w:top w:val="nil"/>
              <w:left w:val="nil"/>
              <w:bottom w:val="single" w:sz="8" w:space="0" w:color="auto"/>
              <w:right w:val="single" w:sz="8" w:space="0" w:color="auto"/>
            </w:tcBorders>
            <w:shd w:val="clear" w:color="auto" w:fill="auto"/>
            <w:vAlign w:val="center"/>
            <w:hideMark/>
          </w:tcPr>
          <w:p w14:paraId="1B2E218E"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5.895</w:t>
            </w:r>
          </w:p>
        </w:tc>
        <w:tc>
          <w:tcPr>
            <w:tcW w:w="1355" w:type="dxa"/>
            <w:tcBorders>
              <w:top w:val="nil"/>
              <w:left w:val="nil"/>
              <w:bottom w:val="single" w:sz="8" w:space="0" w:color="auto"/>
              <w:right w:val="single" w:sz="8" w:space="0" w:color="auto"/>
            </w:tcBorders>
            <w:shd w:val="clear" w:color="auto" w:fill="auto"/>
            <w:vAlign w:val="center"/>
            <w:hideMark/>
          </w:tcPr>
          <w:p w14:paraId="53C9F729"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39.034</w:t>
            </w:r>
          </w:p>
        </w:tc>
        <w:tc>
          <w:tcPr>
            <w:tcW w:w="1244" w:type="dxa"/>
            <w:tcBorders>
              <w:top w:val="nil"/>
              <w:left w:val="nil"/>
              <w:bottom w:val="single" w:sz="8" w:space="0" w:color="auto"/>
              <w:right w:val="single" w:sz="8" w:space="0" w:color="auto"/>
            </w:tcBorders>
            <w:shd w:val="clear" w:color="auto" w:fill="auto"/>
            <w:vAlign w:val="center"/>
            <w:hideMark/>
          </w:tcPr>
          <w:p w14:paraId="061BD10A"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19.826</w:t>
            </w:r>
          </w:p>
        </w:tc>
        <w:tc>
          <w:tcPr>
            <w:tcW w:w="1244" w:type="dxa"/>
            <w:tcBorders>
              <w:top w:val="nil"/>
              <w:left w:val="nil"/>
              <w:bottom w:val="single" w:sz="8" w:space="0" w:color="auto"/>
              <w:right w:val="single" w:sz="8" w:space="0" w:color="auto"/>
            </w:tcBorders>
            <w:shd w:val="clear" w:color="auto" w:fill="auto"/>
            <w:vAlign w:val="center"/>
            <w:hideMark/>
          </w:tcPr>
          <w:p w14:paraId="742F2ABF"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20.064</w:t>
            </w:r>
          </w:p>
        </w:tc>
        <w:tc>
          <w:tcPr>
            <w:tcW w:w="1095" w:type="dxa"/>
            <w:tcBorders>
              <w:top w:val="nil"/>
              <w:left w:val="nil"/>
              <w:bottom w:val="single" w:sz="8" w:space="0" w:color="auto"/>
              <w:right w:val="single" w:sz="8" w:space="0" w:color="auto"/>
            </w:tcBorders>
            <w:shd w:val="clear" w:color="auto" w:fill="auto"/>
            <w:vAlign w:val="center"/>
            <w:hideMark/>
          </w:tcPr>
          <w:p w14:paraId="5087D17B"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84.819</w:t>
            </w:r>
          </w:p>
        </w:tc>
      </w:tr>
      <w:tr w:rsidR="0015230B" w14:paraId="7A510DDA" w14:textId="77777777" w:rsidTr="00AB4589">
        <w:trPr>
          <w:trHeight w:val="571"/>
        </w:trPr>
        <w:tc>
          <w:tcPr>
            <w:tcW w:w="2823" w:type="dxa"/>
            <w:tcBorders>
              <w:top w:val="nil"/>
              <w:left w:val="single" w:sz="8" w:space="0" w:color="auto"/>
              <w:bottom w:val="single" w:sz="8" w:space="0" w:color="auto"/>
              <w:right w:val="single" w:sz="8" w:space="0" w:color="auto"/>
            </w:tcBorders>
            <w:shd w:val="clear" w:color="000000" w:fill="BFBFBF"/>
            <w:vAlign w:val="center"/>
            <w:hideMark/>
          </w:tcPr>
          <w:p w14:paraId="079738F2"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Add change to forecast of spending:</w:t>
            </w:r>
          </w:p>
        </w:tc>
        <w:tc>
          <w:tcPr>
            <w:tcW w:w="1430" w:type="dxa"/>
            <w:tcBorders>
              <w:top w:val="nil"/>
              <w:left w:val="nil"/>
              <w:bottom w:val="single" w:sz="8" w:space="0" w:color="auto"/>
              <w:right w:val="single" w:sz="8" w:space="0" w:color="auto"/>
            </w:tcBorders>
            <w:shd w:val="clear" w:color="000000" w:fill="BFBFBF"/>
            <w:vAlign w:val="center"/>
            <w:hideMark/>
          </w:tcPr>
          <w:p w14:paraId="4F703FF4" w14:textId="77777777" w:rsidR="00AB4589" w:rsidRPr="00B516A9" w:rsidRDefault="00AB4589" w:rsidP="00AB4589">
            <w:pPr>
              <w:autoSpaceDE/>
              <w:autoSpaceDN/>
              <w:adjustRightInd/>
              <w:spacing w:after="0"/>
              <w:jc w:val="center"/>
              <w:rPr>
                <w:rFonts w:eastAsia="Times New Roman" w:cs="Arial"/>
                <w:lang w:eastAsia="en-GB"/>
              </w:rPr>
            </w:pPr>
          </w:p>
        </w:tc>
        <w:tc>
          <w:tcPr>
            <w:tcW w:w="1355" w:type="dxa"/>
            <w:tcBorders>
              <w:top w:val="nil"/>
              <w:left w:val="nil"/>
              <w:bottom w:val="single" w:sz="8" w:space="0" w:color="auto"/>
              <w:right w:val="single" w:sz="8" w:space="0" w:color="auto"/>
            </w:tcBorders>
            <w:shd w:val="clear" w:color="000000" w:fill="BFBFBF"/>
            <w:vAlign w:val="center"/>
            <w:hideMark/>
          </w:tcPr>
          <w:p w14:paraId="20525BA5" w14:textId="77777777" w:rsidR="00AB4589" w:rsidRPr="00B516A9" w:rsidRDefault="00AB4589" w:rsidP="00AB4589">
            <w:pPr>
              <w:autoSpaceDE/>
              <w:autoSpaceDN/>
              <w:adjustRightInd/>
              <w:spacing w:after="0"/>
              <w:jc w:val="center"/>
              <w:rPr>
                <w:rFonts w:eastAsia="Times New Roman" w:cs="Arial"/>
                <w:lang w:eastAsia="en-GB"/>
              </w:rPr>
            </w:pPr>
          </w:p>
        </w:tc>
        <w:tc>
          <w:tcPr>
            <w:tcW w:w="1244" w:type="dxa"/>
            <w:tcBorders>
              <w:top w:val="nil"/>
              <w:left w:val="nil"/>
              <w:bottom w:val="single" w:sz="8" w:space="0" w:color="auto"/>
              <w:right w:val="single" w:sz="8" w:space="0" w:color="auto"/>
            </w:tcBorders>
            <w:shd w:val="clear" w:color="000000" w:fill="BFBFBF"/>
            <w:vAlign w:val="center"/>
            <w:hideMark/>
          </w:tcPr>
          <w:p w14:paraId="129280EA" w14:textId="77777777" w:rsidR="00AB4589" w:rsidRPr="00B516A9" w:rsidRDefault="00AB4589" w:rsidP="00AB4589">
            <w:pPr>
              <w:autoSpaceDE/>
              <w:autoSpaceDN/>
              <w:adjustRightInd/>
              <w:spacing w:after="0"/>
              <w:jc w:val="center"/>
              <w:rPr>
                <w:rFonts w:eastAsia="Times New Roman" w:cs="Arial"/>
                <w:lang w:eastAsia="en-GB"/>
              </w:rPr>
            </w:pPr>
          </w:p>
        </w:tc>
        <w:tc>
          <w:tcPr>
            <w:tcW w:w="1244" w:type="dxa"/>
            <w:tcBorders>
              <w:top w:val="nil"/>
              <w:left w:val="nil"/>
              <w:bottom w:val="single" w:sz="8" w:space="0" w:color="auto"/>
              <w:right w:val="single" w:sz="8" w:space="0" w:color="auto"/>
            </w:tcBorders>
            <w:shd w:val="clear" w:color="000000" w:fill="BFBFBF"/>
            <w:vAlign w:val="center"/>
            <w:hideMark/>
          </w:tcPr>
          <w:p w14:paraId="19685EC9" w14:textId="77777777" w:rsidR="00AB4589" w:rsidRPr="00B516A9" w:rsidRDefault="00AB4589" w:rsidP="00AB4589">
            <w:pPr>
              <w:autoSpaceDE/>
              <w:autoSpaceDN/>
              <w:adjustRightInd/>
              <w:spacing w:after="0"/>
              <w:jc w:val="center"/>
              <w:rPr>
                <w:rFonts w:eastAsia="Times New Roman" w:cs="Arial"/>
                <w:lang w:eastAsia="en-GB"/>
              </w:rPr>
            </w:pPr>
          </w:p>
        </w:tc>
        <w:tc>
          <w:tcPr>
            <w:tcW w:w="1095" w:type="dxa"/>
            <w:tcBorders>
              <w:top w:val="nil"/>
              <w:left w:val="nil"/>
              <w:bottom w:val="single" w:sz="8" w:space="0" w:color="auto"/>
              <w:right w:val="single" w:sz="8" w:space="0" w:color="auto"/>
            </w:tcBorders>
            <w:shd w:val="clear" w:color="000000" w:fill="BFBFBF"/>
            <w:vAlign w:val="center"/>
            <w:hideMark/>
          </w:tcPr>
          <w:p w14:paraId="54090D53" w14:textId="77777777" w:rsidR="00AB4589" w:rsidRPr="00B516A9" w:rsidRDefault="00AB4589" w:rsidP="00AB4589">
            <w:pPr>
              <w:autoSpaceDE/>
              <w:autoSpaceDN/>
              <w:adjustRightInd/>
              <w:spacing w:after="0"/>
              <w:jc w:val="center"/>
              <w:rPr>
                <w:rFonts w:eastAsia="Times New Roman" w:cs="Arial"/>
                <w:lang w:eastAsia="en-GB"/>
              </w:rPr>
            </w:pPr>
          </w:p>
        </w:tc>
      </w:tr>
      <w:tr w:rsidR="0015230B" w14:paraId="5BC902FF" w14:textId="77777777" w:rsidTr="00AB4589">
        <w:trPr>
          <w:trHeight w:val="292"/>
        </w:trPr>
        <w:tc>
          <w:tcPr>
            <w:tcW w:w="2823" w:type="dxa"/>
            <w:tcBorders>
              <w:top w:val="nil"/>
              <w:left w:val="single" w:sz="8" w:space="0" w:color="auto"/>
              <w:bottom w:val="single" w:sz="8" w:space="0" w:color="auto"/>
              <w:right w:val="single" w:sz="8" w:space="0" w:color="auto"/>
            </w:tcBorders>
            <w:shd w:val="clear" w:color="auto" w:fill="auto"/>
            <w:vAlign w:val="center"/>
            <w:hideMark/>
          </w:tcPr>
          <w:p w14:paraId="128D6932"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Pay &amp; Pensions</w:t>
            </w:r>
          </w:p>
        </w:tc>
        <w:tc>
          <w:tcPr>
            <w:tcW w:w="1430" w:type="dxa"/>
            <w:tcBorders>
              <w:top w:val="nil"/>
              <w:left w:val="nil"/>
              <w:bottom w:val="single" w:sz="8" w:space="0" w:color="auto"/>
              <w:right w:val="single" w:sz="8" w:space="0" w:color="auto"/>
            </w:tcBorders>
            <w:shd w:val="clear" w:color="auto" w:fill="auto"/>
            <w:vAlign w:val="center"/>
            <w:hideMark/>
          </w:tcPr>
          <w:p w14:paraId="56096686"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0.136</w:t>
            </w:r>
          </w:p>
        </w:tc>
        <w:tc>
          <w:tcPr>
            <w:tcW w:w="1355" w:type="dxa"/>
            <w:tcBorders>
              <w:top w:val="nil"/>
              <w:left w:val="nil"/>
              <w:bottom w:val="single" w:sz="8" w:space="0" w:color="auto"/>
              <w:right w:val="single" w:sz="8" w:space="0" w:color="auto"/>
            </w:tcBorders>
            <w:shd w:val="clear" w:color="auto" w:fill="auto"/>
            <w:vAlign w:val="center"/>
            <w:hideMark/>
          </w:tcPr>
          <w:p w14:paraId="41AF07D5"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-0.007</w:t>
            </w:r>
          </w:p>
        </w:tc>
        <w:tc>
          <w:tcPr>
            <w:tcW w:w="1244" w:type="dxa"/>
            <w:tcBorders>
              <w:top w:val="nil"/>
              <w:left w:val="nil"/>
              <w:bottom w:val="single" w:sz="8" w:space="0" w:color="auto"/>
              <w:right w:val="single" w:sz="8" w:space="0" w:color="auto"/>
            </w:tcBorders>
            <w:shd w:val="clear" w:color="auto" w:fill="auto"/>
            <w:vAlign w:val="center"/>
            <w:hideMark/>
          </w:tcPr>
          <w:p w14:paraId="72CC5875"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-0.351</w:t>
            </w:r>
          </w:p>
        </w:tc>
        <w:tc>
          <w:tcPr>
            <w:tcW w:w="1244" w:type="dxa"/>
            <w:tcBorders>
              <w:top w:val="nil"/>
              <w:left w:val="nil"/>
              <w:bottom w:val="single" w:sz="8" w:space="0" w:color="auto"/>
              <w:right w:val="single" w:sz="8" w:space="0" w:color="auto"/>
            </w:tcBorders>
            <w:shd w:val="clear" w:color="auto" w:fill="auto"/>
            <w:vAlign w:val="center"/>
            <w:hideMark/>
          </w:tcPr>
          <w:p w14:paraId="246A77CB"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0.182</w:t>
            </w:r>
          </w:p>
        </w:tc>
        <w:tc>
          <w:tcPr>
            <w:tcW w:w="1095" w:type="dxa"/>
            <w:tcBorders>
              <w:top w:val="nil"/>
              <w:left w:val="nil"/>
              <w:bottom w:val="single" w:sz="8" w:space="0" w:color="auto"/>
              <w:right w:val="single" w:sz="8" w:space="0" w:color="auto"/>
            </w:tcBorders>
            <w:shd w:val="clear" w:color="auto" w:fill="auto"/>
            <w:vAlign w:val="center"/>
            <w:hideMark/>
          </w:tcPr>
          <w:p w14:paraId="238260D1"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-0.040</w:t>
            </w:r>
          </w:p>
        </w:tc>
      </w:tr>
      <w:tr w:rsidR="0015230B" w14:paraId="63E5987B" w14:textId="77777777" w:rsidTr="00AB4589">
        <w:trPr>
          <w:trHeight w:val="376"/>
        </w:trPr>
        <w:tc>
          <w:tcPr>
            <w:tcW w:w="2823" w:type="dxa"/>
            <w:tcBorders>
              <w:top w:val="nil"/>
              <w:left w:val="single" w:sz="8" w:space="0" w:color="auto"/>
              <w:bottom w:val="single" w:sz="8" w:space="0" w:color="auto"/>
              <w:right w:val="single" w:sz="8" w:space="0" w:color="auto"/>
            </w:tcBorders>
            <w:shd w:val="clear" w:color="auto" w:fill="auto"/>
            <w:vAlign w:val="center"/>
            <w:hideMark/>
          </w:tcPr>
          <w:p w14:paraId="4984DF01"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Inflation and Cost Changes</w:t>
            </w:r>
          </w:p>
        </w:tc>
        <w:tc>
          <w:tcPr>
            <w:tcW w:w="1430" w:type="dxa"/>
            <w:tcBorders>
              <w:top w:val="nil"/>
              <w:left w:val="nil"/>
              <w:bottom w:val="single" w:sz="8" w:space="0" w:color="auto"/>
              <w:right w:val="single" w:sz="8" w:space="0" w:color="auto"/>
            </w:tcBorders>
            <w:shd w:val="clear" w:color="auto" w:fill="auto"/>
            <w:vAlign w:val="center"/>
            <w:hideMark/>
          </w:tcPr>
          <w:p w14:paraId="096C188F"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1.214</w:t>
            </w:r>
          </w:p>
        </w:tc>
        <w:tc>
          <w:tcPr>
            <w:tcW w:w="1355" w:type="dxa"/>
            <w:tcBorders>
              <w:top w:val="nil"/>
              <w:left w:val="nil"/>
              <w:bottom w:val="single" w:sz="8" w:space="0" w:color="auto"/>
              <w:right w:val="single" w:sz="8" w:space="0" w:color="auto"/>
            </w:tcBorders>
            <w:shd w:val="clear" w:color="auto" w:fill="auto"/>
            <w:vAlign w:val="center"/>
            <w:hideMark/>
          </w:tcPr>
          <w:p w14:paraId="12F6EEB5"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-0.143</w:t>
            </w:r>
          </w:p>
        </w:tc>
        <w:tc>
          <w:tcPr>
            <w:tcW w:w="1244" w:type="dxa"/>
            <w:tcBorders>
              <w:top w:val="nil"/>
              <w:left w:val="nil"/>
              <w:bottom w:val="single" w:sz="8" w:space="0" w:color="auto"/>
              <w:right w:val="single" w:sz="8" w:space="0" w:color="auto"/>
            </w:tcBorders>
            <w:shd w:val="clear" w:color="auto" w:fill="auto"/>
            <w:vAlign w:val="center"/>
            <w:hideMark/>
          </w:tcPr>
          <w:p w14:paraId="2630578B"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-0.254</w:t>
            </w:r>
          </w:p>
        </w:tc>
        <w:tc>
          <w:tcPr>
            <w:tcW w:w="1244" w:type="dxa"/>
            <w:tcBorders>
              <w:top w:val="nil"/>
              <w:left w:val="nil"/>
              <w:bottom w:val="single" w:sz="8" w:space="0" w:color="auto"/>
              <w:right w:val="single" w:sz="8" w:space="0" w:color="auto"/>
            </w:tcBorders>
            <w:shd w:val="clear" w:color="auto" w:fill="auto"/>
            <w:vAlign w:val="center"/>
            <w:hideMark/>
          </w:tcPr>
          <w:p w14:paraId="279B3568"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0.098</w:t>
            </w:r>
          </w:p>
        </w:tc>
        <w:tc>
          <w:tcPr>
            <w:tcW w:w="1095" w:type="dxa"/>
            <w:tcBorders>
              <w:top w:val="nil"/>
              <w:left w:val="nil"/>
              <w:bottom w:val="single" w:sz="8" w:space="0" w:color="auto"/>
              <w:right w:val="single" w:sz="8" w:space="0" w:color="auto"/>
            </w:tcBorders>
            <w:shd w:val="clear" w:color="auto" w:fill="auto"/>
            <w:vAlign w:val="center"/>
            <w:hideMark/>
          </w:tcPr>
          <w:p w14:paraId="085C9C52"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0.916</w:t>
            </w:r>
          </w:p>
        </w:tc>
      </w:tr>
      <w:tr w:rsidR="0015230B" w14:paraId="4D38E4C8" w14:textId="77777777" w:rsidTr="00AB4589">
        <w:trPr>
          <w:trHeight w:val="571"/>
        </w:trPr>
        <w:tc>
          <w:tcPr>
            <w:tcW w:w="2823" w:type="dxa"/>
            <w:tcBorders>
              <w:top w:val="nil"/>
              <w:left w:val="single" w:sz="8" w:space="0" w:color="auto"/>
              <w:bottom w:val="single" w:sz="8" w:space="0" w:color="auto"/>
              <w:right w:val="single" w:sz="8" w:space="0" w:color="auto"/>
            </w:tcBorders>
            <w:shd w:val="clear" w:color="auto" w:fill="auto"/>
            <w:vAlign w:val="center"/>
            <w:hideMark/>
          </w:tcPr>
          <w:p w14:paraId="7A178457"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Service Demand and Volume Pressures</w:t>
            </w:r>
          </w:p>
        </w:tc>
        <w:tc>
          <w:tcPr>
            <w:tcW w:w="1430" w:type="dxa"/>
            <w:tcBorders>
              <w:top w:val="nil"/>
              <w:left w:val="nil"/>
              <w:bottom w:val="single" w:sz="8" w:space="0" w:color="auto"/>
              <w:right w:val="single" w:sz="8" w:space="0" w:color="auto"/>
            </w:tcBorders>
            <w:shd w:val="clear" w:color="auto" w:fill="auto"/>
            <w:vAlign w:val="center"/>
            <w:hideMark/>
          </w:tcPr>
          <w:p w14:paraId="733CFFC1"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3.560</w:t>
            </w:r>
          </w:p>
        </w:tc>
        <w:tc>
          <w:tcPr>
            <w:tcW w:w="1355" w:type="dxa"/>
            <w:tcBorders>
              <w:top w:val="nil"/>
              <w:left w:val="nil"/>
              <w:bottom w:val="single" w:sz="8" w:space="0" w:color="auto"/>
              <w:right w:val="single" w:sz="8" w:space="0" w:color="auto"/>
            </w:tcBorders>
            <w:shd w:val="clear" w:color="auto" w:fill="auto"/>
            <w:vAlign w:val="center"/>
            <w:hideMark/>
          </w:tcPr>
          <w:p w14:paraId="062C7C96"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0.960</w:t>
            </w:r>
          </w:p>
        </w:tc>
        <w:tc>
          <w:tcPr>
            <w:tcW w:w="1244" w:type="dxa"/>
            <w:tcBorders>
              <w:top w:val="nil"/>
              <w:left w:val="nil"/>
              <w:bottom w:val="single" w:sz="8" w:space="0" w:color="auto"/>
              <w:right w:val="single" w:sz="8" w:space="0" w:color="auto"/>
            </w:tcBorders>
            <w:shd w:val="clear" w:color="auto" w:fill="auto"/>
            <w:vAlign w:val="center"/>
            <w:hideMark/>
          </w:tcPr>
          <w:p w14:paraId="73B44880"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-0.316</w:t>
            </w:r>
          </w:p>
        </w:tc>
        <w:tc>
          <w:tcPr>
            <w:tcW w:w="1244" w:type="dxa"/>
            <w:tcBorders>
              <w:top w:val="nil"/>
              <w:left w:val="nil"/>
              <w:bottom w:val="single" w:sz="8" w:space="0" w:color="auto"/>
              <w:right w:val="single" w:sz="8" w:space="0" w:color="auto"/>
            </w:tcBorders>
            <w:shd w:val="clear" w:color="auto" w:fill="auto"/>
            <w:vAlign w:val="center"/>
            <w:hideMark/>
          </w:tcPr>
          <w:p w14:paraId="664E57AD"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-0.086</w:t>
            </w:r>
          </w:p>
        </w:tc>
        <w:tc>
          <w:tcPr>
            <w:tcW w:w="1095" w:type="dxa"/>
            <w:tcBorders>
              <w:top w:val="nil"/>
              <w:left w:val="nil"/>
              <w:bottom w:val="single" w:sz="8" w:space="0" w:color="auto"/>
              <w:right w:val="single" w:sz="8" w:space="0" w:color="auto"/>
            </w:tcBorders>
            <w:shd w:val="clear" w:color="auto" w:fill="auto"/>
            <w:vAlign w:val="center"/>
            <w:hideMark/>
          </w:tcPr>
          <w:p w14:paraId="66866761"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4.118</w:t>
            </w:r>
          </w:p>
        </w:tc>
      </w:tr>
      <w:tr w:rsidR="0015230B" w14:paraId="294BC088" w14:textId="77777777" w:rsidTr="00AB4589">
        <w:trPr>
          <w:trHeight w:val="334"/>
        </w:trPr>
        <w:tc>
          <w:tcPr>
            <w:tcW w:w="2823" w:type="dxa"/>
            <w:tcBorders>
              <w:top w:val="nil"/>
              <w:left w:val="single" w:sz="8" w:space="0" w:color="auto"/>
              <w:bottom w:val="single" w:sz="8" w:space="0" w:color="auto"/>
              <w:right w:val="single" w:sz="8" w:space="0" w:color="auto"/>
            </w:tcBorders>
            <w:shd w:val="clear" w:color="auto" w:fill="auto"/>
            <w:vAlign w:val="center"/>
            <w:hideMark/>
          </w:tcPr>
          <w:p w14:paraId="1AAD9FC1"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Other</w:t>
            </w:r>
          </w:p>
        </w:tc>
        <w:tc>
          <w:tcPr>
            <w:tcW w:w="1430" w:type="dxa"/>
            <w:tcBorders>
              <w:top w:val="nil"/>
              <w:left w:val="nil"/>
              <w:bottom w:val="single" w:sz="8" w:space="0" w:color="auto"/>
              <w:right w:val="single" w:sz="8" w:space="0" w:color="auto"/>
            </w:tcBorders>
            <w:shd w:val="clear" w:color="auto" w:fill="auto"/>
            <w:vAlign w:val="center"/>
            <w:hideMark/>
          </w:tcPr>
          <w:p w14:paraId="11D67373"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3.793</w:t>
            </w:r>
          </w:p>
        </w:tc>
        <w:tc>
          <w:tcPr>
            <w:tcW w:w="1355" w:type="dxa"/>
            <w:tcBorders>
              <w:top w:val="nil"/>
              <w:left w:val="nil"/>
              <w:bottom w:val="single" w:sz="8" w:space="0" w:color="auto"/>
              <w:right w:val="single" w:sz="8" w:space="0" w:color="auto"/>
            </w:tcBorders>
            <w:shd w:val="clear" w:color="auto" w:fill="auto"/>
            <w:vAlign w:val="center"/>
            <w:hideMark/>
          </w:tcPr>
          <w:p w14:paraId="6B17CF6D"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-0.549</w:t>
            </w:r>
          </w:p>
        </w:tc>
        <w:tc>
          <w:tcPr>
            <w:tcW w:w="1244" w:type="dxa"/>
            <w:tcBorders>
              <w:top w:val="nil"/>
              <w:left w:val="nil"/>
              <w:bottom w:val="single" w:sz="8" w:space="0" w:color="auto"/>
              <w:right w:val="single" w:sz="8" w:space="0" w:color="auto"/>
            </w:tcBorders>
            <w:shd w:val="clear" w:color="auto" w:fill="auto"/>
            <w:vAlign w:val="center"/>
            <w:hideMark/>
          </w:tcPr>
          <w:p w14:paraId="0B7D81D6"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0.000</w:t>
            </w:r>
          </w:p>
        </w:tc>
        <w:tc>
          <w:tcPr>
            <w:tcW w:w="1244" w:type="dxa"/>
            <w:tcBorders>
              <w:top w:val="nil"/>
              <w:left w:val="nil"/>
              <w:bottom w:val="single" w:sz="8" w:space="0" w:color="auto"/>
              <w:right w:val="single" w:sz="8" w:space="0" w:color="auto"/>
            </w:tcBorders>
            <w:shd w:val="clear" w:color="auto" w:fill="auto"/>
            <w:vAlign w:val="center"/>
            <w:hideMark/>
          </w:tcPr>
          <w:p w14:paraId="68EA9E52"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-0.500</w:t>
            </w:r>
          </w:p>
        </w:tc>
        <w:tc>
          <w:tcPr>
            <w:tcW w:w="1095" w:type="dxa"/>
            <w:tcBorders>
              <w:top w:val="nil"/>
              <w:left w:val="nil"/>
              <w:bottom w:val="single" w:sz="8" w:space="0" w:color="auto"/>
              <w:right w:val="single" w:sz="8" w:space="0" w:color="auto"/>
            </w:tcBorders>
            <w:shd w:val="clear" w:color="auto" w:fill="auto"/>
            <w:vAlign w:val="center"/>
            <w:hideMark/>
          </w:tcPr>
          <w:p w14:paraId="0BC896BE"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2.744</w:t>
            </w:r>
          </w:p>
        </w:tc>
      </w:tr>
      <w:tr w:rsidR="0015230B" w14:paraId="1161A173" w14:textId="77777777" w:rsidTr="00AB4589">
        <w:trPr>
          <w:trHeight w:val="348"/>
        </w:trPr>
        <w:tc>
          <w:tcPr>
            <w:tcW w:w="2823" w:type="dxa"/>
            <w:tcBorders>
              <w:top w:val="nil"/>
              <w:left w:val="single" w:sz="8" w:space="0" w:color="auto"/>
              <w:bottom w:val="single" w:sz="8" w:space="0" w:color="auto"/>
              <w:right w:val="single" w:sz="8" w:space="0" w:color="auto"/>
            </w:tcBorders>
            <w:shd w:val="clear" w:color="auto" w:fill="auto"/>
            <w:noWrap/>
            <w:vAlign w:val="bottom"/>
            <w:hideMark/>
          </w:tcPr>
          <w:p w14:paraId="5A25DC26" w14:textId="77777777" w:rsidR="00AB4589" w:rsidRPr="00B516A9" w:rsidRDefault="00AB4589" w:rsidP="00AB4589">
            <w:pPr>
              <w:autoSpaceDE/>
              <w:autoSpaceDN/>
              <w:adjustRightInd/>
              <w:spacing w:after="0"/>
              <w:jc w:val="center"/>
              <w:rPr>
                <w:rFonts w:eastAsia="Times New Roman" w:cs="Arial"/>
                <w:color w:val="auto"/>
                <w:lang w:eastAsia="en-GB"/>
              </w:rPr>
            </w:pPr>
            <w:r w:rsidRPr="00B516A9">
              <w:rPr>
                <w:rFonts w:eastAsia="Times New Roman" w:cs="Arial"/>
                <w:color w:val="auto"/>
                <w:lang w:eastAsia="en-GB"/>
              </w:rPr>
              <w:t>Undeliverable Savings</w:t>
            </w:r>
          </w:p>
        </w:tc>
        <w:tc>
          <w:tcPr>
            <w:tcW w:w="1430" w:type="dxa"/>
            <w:tcBorders>
              <w:top w:val="nil"/>
              <w:left w:val="nil"/>
              <w:bottom w:val="single" w:sz="8" w:space="0" w:color="auto"/>
              <w:right w:val="single" w:sz="8" w:space="0" w:color="auto"/>
            </w:tcBorders>
            <w:shd w:val="clear" w:color="auto" w:fill="auto"/>
            <w:vAlign w:val="center"/>
            <w:hideMark/>
          </w:tcPr>
          <w:p w14:paraId="797B873A"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8.92</w:t>
            </w:r>
            <w:r>
              <w:rPr>
                <w:rFonts w:eastAsia="Times New Roman" w:cs="Arial"/>
                <w:lang w:eastAsia="en-GB"/>
              </w:rPr>
              <w:t>9</w:t>
            </w:r>
          </w:p>
        </w:tc>
        <w:tc>
          <w:tcPr>
            <w:tcW w:w="1355" w:type="dxa"/>
            <w:tcBorders>
              <w:top w:val="nil"/>
              <w:left w:val="nil"/>
              <w:bottom w:val="single" w:sz="8" w:space="0" w:color="auto"/>
              <w:right w:val="single" w:sz="8" w:space="0" w:color="auto"/>
            </w:tcBorders>
            <w:shd w:val="clear" w:color="auto" w:fill="auto"/>
            <w:vAlign w:val="center"/>
            <w:hideMark/>
          </w:tcPr>
          <w:p w14:paraId="12FFABB7"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0.000</w:t>
            </w:r>
          </w:p>
        </w:tc>
        <w:tc>
          <w:tcPr>
            <w:tcW w:w="1244" w:type="dxa"/>
            <w:tcBorders>
              <w:top w:val="nil"/>
              <w:left w:val="nil"/>
              <w:bottom w:val="single" w:sz="8" w:space="0" w:color="auto"/>
              <w:right w:val="single" w:sz="8" w:space="0" w:color="auto"/>
            </w:tcBorders>
            <w:shd w:val="clear" w:color="auto" w:fill="auto"/>
            <w:vAlign w:val="center"/>
            <w:hideMark/>
          </w:tcPr>
          <w:p w14:paraId="756B57D4"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0.000</w:t>
            </w:r>
          </w:p>
        </w:tc>
        <w:tc>
          <w:tcPr>
            <w:tcW w:w="1244" w:type="dxa"/>
            <w:tcBorders>
              <w:top w:val="nil"/>
              <w:left w:val="nil"/>
              <w:bottom w:val="single" w:sz="8" w:space="0" w:color="auto"/>
              <w:right w:val="single" w:sz="8" w:space="0" w:color="auto"/>
            </w:tcBorders>
            <w:shd w:val="clear" w:color="auto" w:fill="auto"/>
            <w:vAlign w:val="center"/>
            <w:hideMark/>
          </w:tcPr>
          <w:p w14:paraId="321563BE"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0.000</w:t>
            </w:r>
          </w:p>
        </w:tc>
        <w:tc>
          <w:tcPr>
            <w:tcW w:w="1095" w:type="dxa"/>
            <w:tcBorders>
              <w:top w:val="nil"/>
              <w:left w:val="nil"/>
              <w:bottom w:val="single" w:sz="8" w:space="0" w:color="auto"/>
              <w:right w:val="single" w:sz="8" w:space="0" w:color="auto"/>
            </w:tcBorders>
            <w:shd w:val="clear" w:color="auto" w:fill="auto"/>
            <w:vAlign w:val="center"/>
            <w:hideMark/>
          </w:tcPr>
          <w:p w14:paraId="79A03015"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8.92</w:t>
            </w:r>
            <w:r>
              <w:rPr>
                <w:rFonts w:eastAsia="Times New Roman" w:cs="Arial"/>
                <w:b/>
                <w:bCs/>
                <w:lang w:eastAsia="en-GB"/>
              </w:rPr>
              <w:t>9</w:t>
            </w:r>
          </w:p>
        </w:tc>
      </w:tr>
      <w:tr w:rsidR="0015230B" w14:paraId="5455666B" w14:textId="77777777" w:rsidTr="00AB4589">
        <w:trPr>
          <w:trHeight w:val="292"/>
        </w:trPr>
        <w:tc>
          <w:tcPr>
            <w:tcW w:w="2823" w:type="dxa"/>
            <w:tcBorders>
              <w:top w:val="nil"/>
              <w:left w:val="single" w:sz="8" w:space="0" w:color="auto"/>
              <w:bottom w:val="single" w:sz="8" w:space="0" w:color="auto"/>
              <w:right w:val="single" w:sz="8" w:space="0" w:color="auto"/>
            </w:tcBorders>
            <w:shd w:val="clear" w:color="auto" w:fill="auto"/>
            <w:vAlign w:val="center"/>
            <w:hideMark/>
          </w:tcPr>
          <w:p w14:paraId="697B6A27" w14:textId="77777777" w:rsidR="00AB4589" w:rsidRPr="00B516A9" w:rsidRDefault="00AB4589" w:rsidP="00AB4589">
            <w:pPr>
              <w:autoSpaceDE/>
              <w:autoSpaceDN/>
              <w:adjustRightInd/>
              <w:spacing w:after="0"/>
              <w:jc w:val="center"/>
              <w:rPr>
                <w:rFonts w:eastAsia="Times New Roman" w:cs="Arial"/>
                <w:color w:val="auto"/>
                <w:lang w:eastAsia="en-GB"/>
              </w:rPr>
            </w:pPr>
            <w:r w:rsidRPr="00B516A9">
              <w:rPr>
                <w:rFonts w:eastAsia="Times New Roman" w:cs="Arial"/>
                <w:color w:val="auto"/>
                <w:lang w:eastAsia="en-GB"/>
              </w:rPr>
              <w:t>Additional Savings</w:t>
            </w:r>
          </w:p>
        </w:tc>
        <w:tc>
          <w:tcPr>
            <w:tcW w:w="1430" w:type="dxa"/>
            <w:tcBorders>
              <w:top w:val="nil"/>
              <w:left w:val="nil"/>
              <w:bottom w:val="single" w:sz="8" w:space="0" w:color="auto"/>
              <w:right w:val="single" w:sz="8" w:space="0" w:color="auto"/>
            </w:tcBorders>
            <w:shd w:val="clear" w:color="auto" w:fill="auto"/>
            <w:vAlign w:val="center"/>
            <w:hideMark/>
          </w:tcPr>
          <w:p w14:paraId="3EA44EE8"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-0.700</w:t>
            </w:r>
          </w:p>
        </w:tc>
        <w:tc>
          <w:tcPr>
            <w:tcW w:w="1355" w:type="dxa"/>
            <w:tcBorders>
              <w:top w:val="nil"/>
              <w:left w:val="nil"/>
              <w:bottom w:val="single" w:sz="8" w:space="0" w:color="auto"/>
              <w:right w:val="single" w:sz="8" w:space="0" w:color="auto"/>
            </w:tcBorders>
            <w:shd w:val="clear" w:color="auto" w:fill="auto"/>
            <w:vAlign w:val="center"/>
            <w:hideMark/>
          </w:tcPr>
          <w:p w14:paraId="4073F3F9"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-4.313</w:t>
            </w:r>
          </w:p>
        </w:tc>
        <w:tc>
          <w:tcPr>
            <w:tcW w:w="1244" w:type="dxa"/>
            <w:tcBorders>
              <w:top w:val="nil"/>
              <w:left w:val="nil"/>
              <w:bottom w:val="single" w:sz="8" w:space="0" w:color="auto"/>
              <w:right w:val="single" w:sz="8" w:space="0" w:color="auto"/>
            </w:tcBorders>
            <w:shd w:val="clear" w:color="auto" w:fill="auto"/>
            <w:vAlign w:val="center"/>
            <w:hideMark/>
          </w:tcPr>
          <w:p w14:paraId="3B635B31"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-5.946</w:t>
            </w:r>
          </w:p>
        </w:tc>
        <w:tc>
          <w:tcPr>
            <w:tcW w:w="1244" w:type="dxa"/>
            <w:tcBorders>
              <w:top w:val="nil"/>
              <w:left w:val="nil"/>
              <w:bottom w:val="single" w:sz="8" w:space="0" w:color="auto"/>
              <w:right w:val="single" w:sz="8" w:space="0" w:color="auto"/>
            </w:tcBorders>
            <w:shd w:val="clear" w:color="auto" w:fill="auto"/>
            <w:vAlign w:val="center"/>
            <w:hideMark/>
          </w:tcPr>
          <w:p w14:paraId="6DAE486E"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-1.857</w:t>
            </w:r>
          </w:p>
        </w:tc>
        <w:tc>
          <w:tcPr>
            <w:tcW w:w="1095" w:type="dxa"/>
            <w:tcBorders>
              <w:top w:val="nil"/>
              <w:left w:val="nil"/>
              <w:bottom w:val="single" w:sz="8" w:space="0" w:color="auto"/>
              <w:right w:val="single" w:sz="8" w:space="0" w:color="auto"/>
            </w:tcBorders>
            <w:shd w:val="clear" w:color="auto" w:fill="auto"/>
            <w:vAlign w:val="center"/>
            <w:hideMark/>
          </w:tcPr>
          <w:p w14:paraId="521D97CD"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-12.816</w:t>
            </w:r>
          </w:p>
        </w:tc>
      </w:tr>
      <w:tr w:rsidR="0015230B" w14:paraId="26AC876A" w14:textId="77777777" w:rsidTr="00AB4589">
        <w:trPr>
          <w:trHeight w:val="320"/>
        </w:trPr>
        <w:tc>
          <w:tcPr>
            <w:tcW w:w="2823" w:type="dxa"/>
            <w:tcBorders>
              <w:top w:val="nil"/>
              <w:left w:val="single" w:sz="8" w:space="0" w:color="auto"/>
              <w:bottom w:val="single" w:sz="8" w:space="0" w:color="auto"/>
              <w:right w:val="single" w:sz="8" w:space="0" w:color="auto"/>
            </w:tcBorders>
            <w:shd w:val="clear" w:color="auto" w:fill="auto"/>
            <w:vAlign w:val="center"/>
            <w:hideMark/>
          </w:tcPr>
          <w:p w14:paraId="6B46F3A1" w14:textId="77777777" w:rsidR="00AB4589" w:rsidRPr="00B516A9" w:rsidRDefault="00AB4589" w:rsidP="00AB4589">
            <w:pPr>
              <w:autoSpaceDE/>
              <w:autoSpaceDN/>
              <w:adjustRightInd/>
              <w:spacing w:after="0"/>
              <w:jc w:val="center"/>
              <w:rPr>
                <w:rFonts w:eastAsia="Times New Roman" w:cs="Arial"/>
                <w:color w:val="auto"/>
                <w:lang w:eastAsia="en-GB"/>
              </w:rPr>
            </w:pPr>
            <w:r w:rsidRPr="00B516A9">
              <w:rPr>
                <w:rFonts w:eastAsia="Times New Roman" w:cs="Arial"/>
                <w:color w:val="auto"/>
                <w:lang w:eastAsia="en-GB"/>
              </w:rPr>
              <w:t>Re-profiled Savings</w:t>
            </w:r>
          </w:p>
        </w:tc>
        <w:tc>
          <w:tcPr>
            <w:tcW w:w="1430" w:type="dxa"/>
            <w:tcBorders>
              <w:top w:val="nil"/>
              <w:left w:val="nil"/>
              <w:bottom w:val="single" w:sz="8" w:space="0" w:color="auto"/>
              <w:right w:val="single" w:sz="8" w:space="0" w:color="auto"/>
            </w:tcBorders>
            <w:shd w:val="clear" w:color="auto" w:fill="auto"/>
            <w:vAlign w:val="center"/>
            <w:hideMark/>
          </w:tcPr>
          <w:p w14:paraId="1BFD62BF"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2.303</w:t>
            </w:r>
          </w:p>
        </w:tc>
        <w:tc>
          <w:tcPr>
            <w:tcW w:w="1355" w:type="dxa"/>
            <w:tcBorders>
              <w:top w:val="nil"/>
              <w:left w:val="nil"/>
              <w:bottom w:val="single" w:sz="8" w:space="0" w:color="auto"/>
              <w:right w:val="single" w:sz="8" w:space="0" w:color="auto"/>
            </w:tcBorders>
            <w:shd w:val="clear" w:color="auto" w:fill="auto"/>
            <w:vAlign w:val="center"/>
            <w:hideMark/>
          </w:tcPr>
          <w:p w14:paraId="62C20B95"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0.619</w:t>
            </w:r>
          </w:p>
        </w:tc>
        <w:tc>
          <w:tcPr>
            <w:tcW w:w="1244" w:type="dxa"/>
            <w:tcBorders>
              <w:top w:val="nil"/>
              <w:left w:val="nil"/>
              <w:bottom w:val="single" w:sz="8" w:space="0" w:color="auto"/>
              <w:right w:val="single" w:sz="8" w:space="0" w:color="auto"/>
            </w:tcBorders>
            <w:shd w:val="clear" w:color="auto" w:fill="auto"/>
            <w:vAlign w:val="center"/>
            <w:hideMark/>
          </w:tcPr>
          <w:p w14:paraId="494336EF"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1.407</w:t>
            </w:r>
          </w:p>
        </w:tc>
        <w:tc>
          <w:tcPr>
            <w:tcW w:w="1244" w:type="dxa"/>
            <w:tcBorders>
              <w:top w:val="nil"/>
              <w:left w:val="nil"/>
              <w:bottom w:val="single" w:sz="8" w:space="0" w:color="auto"/>
              <w:right w:val="single" w:sz="8" w:space="0" w:color="auto"/>
            </w:tcBorders>
            <w:shd w:val="clear" w:color="auto" w:fill="auto"/>
            <w:vAlign w:val="center"/>
            <w:hideMark/>
          </w:tcPr>
          <w:p w14:paraId="329F4691"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-1.304</w:t>
            </w:r>
          </w:p>
        </w:tc>
        <w:tc>
          <w:tcPr>
            <w:tcW w:w="1095" w:type="dxa"/>
            <w:tcBorders>
              <w:top w:val="nil"/>
              <w:left w:val="nil"/>
              <w:bottom w:val="single" w:sz="8" w:space="0" w:color="auto"/>
              <w:right w:val="single" w:sz="8" w:space="0" w:color="auto"/>
            </w:tcBorders>
            <w:shd w:val="clear" w:color="auto" w:fill="auto"/>
            <w:vAlign w:val="center"/>
            <w:hideMark/>
          </w:tcPr>
          <w:p w14:paraId="2362F70E"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3.025</w:t>
            </w:r>
          </w:p>
        </w:tc>
      </w:tr>
      <w:tr w:rsidR="0015230B" w14:paraId="05CD6261" w14:textId="77777777" w:rsidTr="00AB4589">
        <w:trPr>
          <w:trHeight w:val="584"/>
        </w:trPr>
        <w:tc>
          <w:tcPr>
            <w:tcW w:w="2823" w:type="dxa"/>
            <w:tcBorders>
              <w:top w:val="nil"/>
              <w:left w:val="single" w:sz="8" w:space="0" w:color="auto"/>
              <w:bottom w:val="single" w:sz="8" w:space="0" w:color="auto"/>
              <w:right w:val="single" w:sz="8" w:space="0" w:color="auto"/>
            </w:tcBorders>
            <w:shd w:val="clear" w:color="000000" w:fill="D9D9D9"/>
            <w:vAlign w:val="center"/>
            <w:hideMark/>
          </w:tcPr>
          <w:p w14:paraId="43D3B13E"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Total change to forecast of spending</w:t>
            </w:r>
          </w:p>
        </w:tc>
        <w:tc>
          <w:tcPr>
            <w:tcW w:w="1430" w:type="dxa"/>
            <w:tcBorders>
              <w:top w:val="nil"/>
              <w:left w:val="nil"/>
              <w:bottom w:val="single" w:sz="8" w:space="0" w:color="auto"/>
              <w:right w:val="single" w:sz="8" w:space="0" w:color="auto"/>
            </w:tcBorders>
            <w:shd w:val="clear" w:color="000000" w:fill="D9D9D9"/>
            <w:vAlign w:val="center"/>
            <w:hideMark/>
          </w:tcPr>
          <w:p w14:paraId="2B437928"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19.23</w:t>
            </w:r>
            <w:r>
              <w:rPr>
                <w:rFonts w:eastAsia="Times New Roman" w:cs="Arial"/>
                <w:b/>
                <w:bCs/>
                <w:lang w:eastAsia="en-GB"/>
              </w:rPr>
              <w:t>5</w:t>
            </w:r>
          </w:p>
        </w:tc>
        <w:tc>
          <w:tcPr>
            <w:tcW w:w="1355" w:type="dxa"/>
            <w:tcBorders>
              <w:top w:val="nil"/>
              <w:left w:val="nil"/>
              <w:bottom w:val="single" w:sz="8" w:space="0" w:color="auto"/>
              <w:right w:val="single" w:sz="8" w:space="0" w:color="auto"/>
            </w:tcBorders>
            <w:shd w:val="clear" w:color="000000" w:fill="D9D9D9"/>
            <w:vAlign w:val="center"/>
            <w:hideMark/>
          </w:tcPr>
          <w:p w14:paraId="568BC102"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-3.433</w:t>
            </w:r>
          </w:p>
        </w:tc>
        <w:tc>
          <w:tcPr>
            <w:tcW w:w="1244" w:type="dxa"/>
            <w:tcBorders>
              <w:top w:val="nil"/>
              <w:left w:val="nil"/>
              <w:bottom w:val="single" w:sz="8" w:space="0" w:color="auto"/>
              <w:right w:val="single" w:sz="8" w:space="0" w:color="auto"/>
            </w:tcBorders>
            <w:shd w:val="clear" w:color="000000" w:fill="D9D9D9"/>
            <w:vAlign w:val="center"/>
            <w:hideMark/>
          </w:tcPr>
          <w:p w14:paraId="4A783C86"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-5.460</w:t>
            </w:r>
          </w:p>
        </w:tc>
        <w:tc>
          <w:tcPr>
            <w:tcW w:w="1244" w:type="dxa"/>
            <w:tcBorders>
              <w:top w:val="nil"/>
              <w:left w:val="nil"/>
              <w:bottom w:val="single" w:sz="8" w:space="0" w:color="auto"/>
              <w:right w:val="single" w:sz="8" w:space="0" w:color="auto"/>
            </w:tcBorders>
            <w:shd w:val="clear" w:color="000000" w:fill="D9D9D9"/>
            <w:vAlign w:val="center"/>
            <w:hideMark/>
          </w:tcPr>
          <w:p w14:paraId="01B6AF82"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-3.467</w:t>
            </w:r>
          </w:p>
        </w:tc>
        <w:tc>
          <w:tcPr>
            <w:tcW w:w="1095" w:type="dxa"/>
            <w:tcBorders>
              <w:top w:val="nil"/>
              <w:left w:val="nil"/>
              <w:bottom w:val="single" w:sz="8" w:space="0" w:color="auto"/>
              <w:right w:val="single" w:sz="8" w:space="0" w:color="auto"/>
            </w:tcBorders>
            <w:shd w:val="clear" w:color="000000" w:fill="D9D9D9"/>
            <w:vAlign w:val="center"/>
            <w:hideMark/>
          </w:tcPr>
          <w:p w14:paraId="5877C4FF"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6.875</w:t>
            </w:r>
          </w:p>
        </w:tc>
      </w:tr>
      <w:tr w:rsidR="0015230B" w14:paraId="0A396527" w14:textId="77777777" w:rsidTr="00AB4589">
        <w:trPr>
          <w:trHeight w:val="417"/>
        </w:trPr>
        <w:tc>
          <w:tcPr>
            <w:tcW w:w="2823" w:type="dxa"/>
            <w:tcBorders>
              <w:top w:val="nil"/>
              <w:left w:val="single" w:sz="8" w:space="0" w:color="auto"/>
              <w:bottom w:val="single" w:sz="8" w:space="0" w:color="auto"/>
              <w:right w:val="single" w:sz="8" w:space="0" w:color="auto"/>
            </w:tcBorders>
            <w:shd w:val="clear" w:color="auto" w:fill="auto"/>
            <w:vAlign w:val="center"/>
            <w:hideMark/>
          </w:tcPr>
          <w:p w14:paraId="3343D165" w14:textId="77777777" w:rsidR="00AB4589" w:rsidRPr="00B516A9" w:rsidRDefault="00AB4589" w:rsidP="00AB4589">
            <w:pPr>
              <w:autoSpaceDE/>
              <w:autoSpaceDN/>
              <w:adjustRightInd/>
              <w:spacing w:after="0"/>
              <w:jc w:val="center"/>
              <w:rPr>
                <w:rFonts w:eastAsia="Times New Roman" w:cs="Arial"/>
                <w:b/>
                <w:bCs/>
                <w:lang w:eastAsia="en-GB"/>
              </w:rPr>
            </w:pPr>
          </w:p>
        </w:tc>
        <w:tc>
          <w:tcPr>
            <w:tcW w:w="1430" w:type="dxa"/>
            <w:tcBorders>
              <w:top w:val="nil"/>
              <w:left w:val="nil"/>
              <w:bottom w:val="single" w:sz="8" w:space="0" w:color="auto"/>
              <w:right w:val="single" w:sz="8" w:space="0" w:color="auto"/>
            </w:tcBorders>
            <w:shd w:val="clear" w:color="auto" w:fill="auto"/>
            <w:vAlign w:val="center"/>
            <w:hideMark/>
          </w:tcPr>
          <w:p w14:paraId="4BC4E556" w14:textId="77777777" w:rsidR="00AB4589" w:rsidRPr="00B516A9" w:rsidRDefault="00AB4589" w:rsidP="00AB4589">
            <w:pPr>
              <w:autoSpaceDE/>
              <w:autoSpaceDN/>
              <w:adjustRightInd/>
              <w:spacing w:after="0"/>
              <w:jc w:val="center"/>
              <w:rPr>
                <w:rFonts w:eastAsia="Times New Roman" w:cs="Arial"/>
                <w:b/>
                <w:bCs/>
                <w:lang w:eastAsia="en-GB"/>
              </w:rPr>
            </w:pPr>
          </w:p>
        </w:tc>
        <w:tc>
          <w:tcPr>
            <w:tcW w:w="1355" w:type="dxa"/>
            <w:tcBorders>
              <w:top w:val="nil"/>
              <w:left w:val="nil"/>
              <w:bottom w:val="single" w:sz="8" w:space="0" w:color="auto"/>
              <w:right w:val="single" w:sz="8" w:space="0" w:color="auto"/>
            </w:tcBorders>
            <w:shd w:val="clear" w:color="auto" w:fill="auto"/>
            <w:vAlign w:val="center"/>
            <w:hideMark/>
          </w:tcPr>
          <w:p w14:paraId="5B9EDF52" w14:textId="77777777" w:rsidR="00AB4589" w:rsidRPr="00B516A9" w:rsidRDefault="00AB4589" w:rsidP="00AB4589">
            <w:pPr>
              <w:autoSpaceDE/>
              <w:autoSpaceDN/>
              <w:adjustRightInd/>
              <w:spacing w:after="0"/>
              <w:jc w:val="center"/>
              <w:rPr>
                <w:rFonts w:eastAsia="Times New Roman" w:cs="Arial"/>
                <w:b/>
                <w:bCs/>
                <w:lang w:eastAsia="en-GB"/>
              </w:rPr>
            </w:pPr>
          </w:p>
        </w:tc>
        <w:tc>
          <w:tcPr>
            <w:tcW w:w="1244" w:type="dxa"/>
            <w:tcBorders>
              <w:top w:val="nil"/>
              <w:left w:val="nil"/>
              <w:bottom w:val="single" w:sz="8" w:space="0" w:color="auto"/>
              <w:right w:val="single" w:sz="8" w:space="0" w:color="auto"/>
            </w:tcBorders>
            <w:shd w:val="clear" w:color="auto" w:fill="auto"/>
            <w:vAlign w:val="center"/>
            <w:hideMark/>
          </w:tcPr>
          <w:p w14:paraId="78EA26C6" w14:textId="77777777" w:rsidR="00AB4589" w:rsidRPr="00B516A9" w:rsidRDefault="00AB4589" w:rsidP="00AB4589">
            <w:pPr>
              <w:autoSpaceDE/>
              <w:autoSpaceDN/>
              <w:adjustRightInd/>
              <w:spacing w:after="0"/>
              <w:jc w:val="center"/>
              <w:rPr>
                <w:rFonts w:eastAsia="Times New Roman" w:cs="Arial"/>
                <w:b/>
                <w:bCs/>
                <w:lang w:eastAsia="en-GB"/>
              </w:rPr>
            </w:pPr>
          </w:p>
        </w:tc>
        <w:tc>
          <w:tcPr>
            <w:tcW w:w="1244" w:type="dxa"/>
            <w:tcBorders>
              <w:top w:val="nil"/>
              <w:left w:val="nil"/>
              <w:bottom w:val="single" w:sz="8" w:space="0" w:color="auto"/>
              <w:right w:val="single" w:sz="8" w:space="0" w:color="auto"/>
            </w:tcBorders>
            <w:shd w:val="clear" w:color="auto" w:fill="auto"/>
            <w:vAlign w:val="center"/>
            <w:hideMark/>
          </w:tcPr>
          <w:p w14:paraId="49DE7FE7" w14:textId="77777777" w:rsidR="00AB4589" w:rsidRPr="00B516A9" w:rsidRDefault="00AB4589" w:rsidP="00AB4589">
            <w:pPr>
              <w:autoSpaceDE/>
              <w:autoSpaceDN/>
              <w:adjustRightInd/>
              <w:spacing w:after="0"/>
              <w:jc w:val="center"/>
              <w:rPr>
                <w:rFonts w:eastAsia="Times New Roman" w:cs="Arial"/>
                <w:b/>
                <w:bCs/>
                <w:lang w:eastAsia="en-GB"/>
              </w:rPr>
            </w:pPr>
          </w:p>
        </w:tc>
        <w:tc>
          <w:tcPr>
            <w:tcW w:w="1095" w:type="dxa"/>
            <w:tcBorders>
              <w:top w:val="nil"/>
              <w:left w:val="nil"/>
              <w:bottom w:val="single" w:sz="8" w:space="0" w:color="auto"/>
              <w:right w:val="single" w:sz="8" w:space="0" w:color="auto"/>
            </w:tcBorders>
            <w:shd w:val="clear" w:color="auto" w:fill="auto"/>
            <w:vAlign w:val="center"/>
            <w:hideMark/>
          </w:tcPr>
          <w:p w14:paraId="77DD9210" w14:textId="77777777" w:rsidR="00AB4589" w:rsidRPr="00B516A9" w:rsidRDefault="00AB4589" w:rsidP="00AB4589">
            <w:pPr>
              <w:autoSpaceDE/>
              <w:autoSpaceDN/>
              <w:adjustRightInd/>
              <w:spacing w:after="0"/>
              <w:jc w:val="center"/>
              <w:rPr>
                <w:rFonts w:eastAsia="Times New Roman" w:cs="Arial"/>
                <w:b/>
                <w:bCs/>
                <w:lang w:eastAsia="en-GB"/>
              </w:rPr>
            </w:pPr>
          </w:p>
        </w:tc>
      </w:tr>
      <w:tr w:rsidR="0015230B" w14:paraId="05CC7866" w14:textId="77777777" w:rsidTr="00AB4589">
        <w:trPr>
          <w:trHeight w:val="445"/>
        </w:trPr>
        <w:tc>
          <w:tcPr>
            <w:tcW w:w="2823" w:type="dxa"/>
            <w:tcBorders>
              <w:top w:val="nil"/>
              <w:left w:val="single" w:sz="8" w:space="0" w:color="auto"/>
              <w:bottom w:val="single" w:sz="8" w:space="0" w:color="auto"/>
              <w:right w:val="single" w:sz="8" w:space="0" w:color="auto"/>
            </w:tcBorders>
            <w:shd w:val="clear" w:color="000000" w:fill="BFBFBF"/>
            <w:vAlign w:val="center"/>
            <w:hideMark/>
          </w:tcPr>
          <w:p w14:paraId="56EA4E07"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Change to forecast of resources:</w:t>
            </w:r>
          </w:p>
        </w:tc>
        <w:tc>
          <w:tcPr>
            <w:tcW w:w="1430" w:type="dxa"/>
            <w:tcBorders>
              <w:top w:val="nil"/>
              <w:left w:val="nil"/>
              <w:bottom w:val="single" w:sz="8" w:space="0" w:color="auto"/>
              <w:right w:val="single" w:sz="8" w:space="0" w:color="auto"/>
            </w:tcBorders>
            <w:shd w:val="clear" w:color="000000" w:fill="BFBFBF"/>
            <w:vAlign w:val="center"/>
            <w:hideMark/>
          </w:tcPr>
          <w:p w14:paraId="75C0399B" w14:textId="77777777" w:rsidR="00AB4589" w:rsidRPr="00B516A9" w:rsidRDefault="00AB4589" w:rsidP="00AB4589">
            <w:pPr>
              <w:autoSpaceDE/>
              <w:autoSpaceDN/>
              <w:adjustRightInd/>
              <w:spacing w:after="0"/>
              <w:jc w:val="center"/>
              <w:rPr>
                <w:rFonts w:eastAsia="Times New Roman" w:cs="Arial"/>
                <w:lang w:eastAsia="en-GB"/>
              </w:rPr>
            </w:pPr>
          </w:p>
        </w:tc>
        <w:tc>
          <w:tcPr>
            <w:tcW w:w="1355" w:type="dxa"/>
            <w:tcBorders>
              <w:top w:val="nil"/>
              <w:left w:val="nil"/>
              <w:bottom w:val="single" w:sz="8" w:space="0" w:color="auto"/>
              <w:right w:val="single" w:sz="8" w:space="0" w:color="auto"/>
            </w:tcBorders>
            <w:shd w:val="clear" w:color="000000" w:fill="BFBFBF"/>
            <w:vAlign w:val="center"/>
            <w:hideMark/>
          </w:tcPr>
          <w:p w14:paraId="6A6EF20E" w14:textId="77777777" w:rsidR="00AB4589" w:rsidRPr="00B516A9" w:rsidRDefault="00AB4589" w:rsidP="00AB4589">
            <w:pPr>
              <w:autoSpaceDE/>
              <w:autoSpaceDN/>
              <w:adjustRightInd/>
              <w:spacing w:after="0"/>
              <w:jc w:val="center"/>
              <w:rPr>
                <w:rFonts w:eastAsia="Times New Roman" w:cs="Arial"/>
                <w:lang w:eastAsia="en-GB"/>
              </w:rPr>
            </w:pPr>
          </w:p>
        </w:tc>
        <w:tc>
          <w:tcPr>
            <w:tcW w:w="1244" w:type="dxa"/>
            <w:tcBorders>
              <w:top w:val="nil"/>
              <w:left w:val="nil"/>
              <w:bottom w:val="single" w:sz="8" w:space="0" w:color="auto"/>
              <w:right w:val="single" w:sz="8" w:space="0" w:color="auto"/>
            </w:tcBorders>
            <w:shd w:val="clear" w:color="000000" w:fill="BFBFBF"/>
            <w:vAlign w:val="center"/>
            <w:hideMark/>
          </w:tcPr>
          <w:p w14:paraId="3D4901F1" w14:textId="77777777" w:rsidR="00AB4589" w:rsidRPr="00B516A9" w:rsidRDefault="00AB4589" w:rsidP="00AB4589">
            <w:pPr>
              <w:autoSpaceDE/>
              <w:autoSpaceDN/>
              <w:adjustRightInd/>
              <w:spacing w:after="0"/>
              <w:jc w:val="center"/>
              <w:rPr>
                <w:rFonts w:eastAsia="Times New Roman" w:cs="Arial"/>
                <w:lang w:eastAsia="en-GB"/>
              </w:rPr>
            </w:pPr>
          </w:p>
        </w:tc>
        <w:tc>
          <w:tcPr>
            <w:tcW w:w="1244" w:type="dxa"/>
            <w:tcBorders>
              <w:top w:val="nil"/>
              <w:left w:val="nil"/>
              <w:bottom w:val="single" w:sz="8" w:space="0" w:color="auto"/>
              <w:right w:val="single" w:sz="8" w:space="0" w:color="auto"/>
            </w:tcBorders>
            <w:shd w:val="clear" w:color="000000" w:fill="BFBFBF"/>
            <w:vAlign w:val="center"/>
            <w:hideMark/>
          </w:tcPr>
          <w:p w14:paraId="34DC41E2" w14:textId="77777777" w:rsidR="00AB4589" w:rsidRPr="00B516A9" w:rsidRDefault="00AB4589" w:rsidP="00AB4589">
            <w:pPr>
              <w:autoSpaceDE/>
              <w:autoSpaceDN/>
              <w:adjustRightInd/>
              <w:spacing w:after="0"/>
              <w:jc w:val="center"/>
              <w:rPr>
                <w:rFonts w:eastAsia="Times New Roman" w:cs="Arial"/>
                <w:lang w:eastAsia="en-GB"/>
              </w:rPr>
            </w:pPr>
          </w:p>
        </w:tc>
        <w:tc>
          <w:tcPr>
            <w:tcW w:w="1095" w:type="dxa"/>
            <w:tcBorders>
              <w:top w:val="nil"/>
              <w:left w:val="nil"/>
              <w:bottom w:val="single" w:sz="8" w:space="0" w:color="auto"/>
              <w:right w:val="single" w:sz="8" w:space="0" w:color="auto"/>
            </w:tcBorders>
            <w:shd w:val="clear" w:color="000000" w:fill="BFBFBF"/>
            <w:vAlign w:val="center"/>
            <w:hideMark/>
          </w:tcPr>
          <w:p w14:paraId="00D851F3" w14:textId="77777777" w:rsidR="00AB4589" w:rsidRPr="00B516A9" w:rsidRDefault="00AB4589" w:rsidP="00AB4589">
            <w:pPr>
              <w:autoSpaceDE/>
              <w:autoSpaceDN/>
              <w:adjustRightInd/>
              <w:spacing w:after="0"/>
              <w:jc w:val="center"/>
              <w:rPr>
                <w:rFonts w:eastAsia="Times New Roman" w:cs="Arial"/>
                <w:lang w:eastAsia="en-GB"/>
              </w:rPr>
            </w:pPr>
          </w:p>
        </w:tc>
      </w:tr>
      <w:tr w:rsidR="0015230B" w14:paraId="4F82F3D8" w14:textId="77777777" w:rsidTr="00AB4589">
        <w:trPr>
          <w:trHeight w:val="320"/>
        </w:trPr>
        <w:tc>
          <w:tcPr>
            <w:tcW w:w="2823" w:type="dxa"/>
            <w:tcBorders>
              <w:top w:val="nil"/>
              <w:left w:val="single" w:sz="8" w:space="0" w:color="auto"/>
              <w:bottom w:val="single" w:sz="8" w:space="0" w:color="auto"/>
              <w:right w:val="single" w:sz="8" w:space="0" w:color="auto"/>
            </w:tcBorders>
            <w:shd w:val="clear" w:color="auto" w:fill="auto"/>
            <w:vAlign w:val="center"/>
            <w:hideMark/>
          </w:tcPr>
          <w:p w14:paraId="10339F79"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Funding</w:t>
            </w:r>
          </w:p>
        </w:tc>
        <w:tc>
          <w:tcPr>
            <w:tcW w:w="1430" w:type="dxa"/>
            <w:tcBorders>
              <w:top w:val="nil"/>
              <w:left w:val="nil"/>
              <w:bottom w:val="single" w:sz="8" w:space="0" w:color="auto"/>
              <w:right w:val="single" w:sz="8" w:space="0" w:color="auto"/>
            </w:tcBorders>
            <w:shd w:val="clear" w:color="auto" w:fill="auto"/>
            <w:vAlign w:val="center"/>
            <w:hideMark/>
          </w:tcPr>
          <w:p w14:paraId="2779AFB2"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-25.130</w:t>
            </w:r>
          </w:p>
        </w:tc>
        <w:tc>
          <w:tcPr>
            <w:tcW w:w="1355" w:type="dxa"/>
            <w:tcBorders>
              <w:top w:val="nil"/>
              <w:left w:val="nil"/>
              <w:bottom w:val="single" w:sz="8" w:space="0" w:color="auto"/>
              <w:right w:val="single" w:sz="8" w:space="0" w:color="auto"/>
            </w:tcBorders>
            <w:shd w:val="clear" w:color="auto" w:fill="auto"/>
            <w:vAlign w:val="center"/>
            <w:hideMark/>
          </w:tcPr>
          <w:p w14:paraId="025605DB"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-40.789</w:t>
            </w:r>
          </w:p>
        </w:tc>
        <w:tc>
          <w:tcPr>
            <w:tcW w:w="1244" w:type="dxa"/>
            <w:tcBorders>
              <w:top w:val="nil"/>
              <w:left w:val="nil"/>
              <w:bottom w:val="single" w:sz="8" w:space="0" w:color="auto"/>
              <w:right w:val="single" w:sz="8" w:space="0" w:color="auto"/>
            </w:tcBorders>
            <w:shd w:val="clear" w:color="auto" w:fill="auto"/>
            <w:vAlign w:val="center"/>
            <w:hideMark/>
          </w:tcPr>
          <w:p w14:paraId="392B6578"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-0.217</w:t>
            </w:r>
          </w:p>
        </w:tc>
        <w:tc>
          <w:tcPr>
            <w:tcW w:w="1244" w:type="dxa"/>
            <w:tcBorders>
              <w:top w:val="nil"/>
              <w:left w:val="nil"/>
              <w:bottom w:val="single" w:sz="8" w:space="0" w:color="auto"/>
              <w:right w:val="single" w:sz="8" w:space="0" w:color="auto"/>
            </w:tcBorders>
            <w:shd w:val="clear" w:color="auto" w:fill="auto"/>
            <w:vAlign w:val="center"/>
            <w:hideMark/>
          </w:tcPr>
          <w:p w14:paraId="50E08E4D"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2.880</w:t>
            </w:r>
          </w:p>
        </w:tc>
        <w:tc>
          <w:tcPr>
            <w:tcW w:w="1095" w:type="dxa"/>
            <w:tcBorders>
              <w:top w:val="nil"/>
              <w:left w:val="nil"/>
              <w:bottom w:val="single" w:sz="8" w:space="0" w:color="auto"/>
              <w:right w:val="single" w:sz="8" w:space="0" w:color="auto"/>
            </w:tcBorders>
            <w:shd w:val="clear" w:color="auto" w:fill="auto"/>
            <w:vAlign w:val="center"/>
            <w:hideMark/>
          </w:tcPr>
          <w:p w14:paraId="51C00B6B"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-63.256</w:t>
            </w:r>
          </w:p>
        </w:tc>
      </w:tr>
      <w:tr w:rsidR="0015230B" w14:paraId="3FC62A19" w14:textId="77777777" w:rsidTr="00AB4589">
        <w:trPr>
          <w:trHeight w:val="571"/>
        </w:trPr>
        <w:tc>
          <w:tcPr>
            <w:tcW w:w="2823" w:type="dxa"/>
            <w:tcBorders>
              <w:top w:val="nil"/>
              <w:left w:val="single" w:sz="8" w:space="0" w:color="auto"/>
              <w:bottom w:val="single" w:sz="8" w:space="0" w:color="auto"/>
              <w:right w:val="single" w:sz="8" w:space="0" w:color="auto"/>
            </w:tcBorders>
            <w:shd w:val="clear" w:color="000000" w:fill="D9D9D9"/>
            <w:vAlign w:val="center"/>
            <w:hideMark/>
          </w:tcPr>
          <w:p w14:paraId="6DD1757D"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Total change to forecast of resources</w:t>
            </w:r>
          </w:p>
        </w:tc>
        <w:tc>
          <w:tcPr>
            <w:tcW w:w="1430" w:type="dxa"/>
            <w:tcBorders>
              <w:top w:val="single" w:sz="8" w:space="0" w:color="auto"/>
              <w:left w:val="nil"/>
              <w:bottom w:val="single" w:sz="8" w:space="0" w:color="auto"/>
              <w:right w:val="single" w:sz="8" w:space="0" w:color="auto"/>
            </w:tcBorders>
            <w:shd w:val="clear" w:color="000000" w:fill="D9D9D9"/>
            <w:vAlign w:val="center"/>
            <w:hideMark/>
          </w:tcPr>
          <w:p w14:paraId="17953C51"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-25.130</w:t>
            </w:r>
          </w:p>
        </w:tc>
        <w:tc>
          <w:tcPr>
            <w:tcW w:w="1355" w:type="dxa"/>
            <w:tcBorders>
              <w:top w:val="single" w:sz="8" w:space="0" w:color="auto"/>
              <w:left w:val="nil"/>
              <w:bottom w:val="single" w:sz="8" w:space="0" w:color="auto"/>
              <w:right w:val="single" w:sz="8" w:space="0" w:color="auto"/>
            </w:tcBorders>
            <w:shd w:val="clear" w:color="000000" w:fill="D9D9D9"/>
            <w:vAlign w:val="center"/>
            <w:hideMark/>
          </w:tcPr>
          <w:p w14:paraId="5337A54C"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-40.789</w:t>
            </w:r>
          </w:p>
        </w:tc>
        <w:tc>
          <w:tcPr>
            <w:tcW w:w="1244" w:type="dxa"/>
            <w:tcBorders>
              <w:top w:val="single" w:sz="8" w:space="0" w:color="auto"/>
              <w:left w:val="nil"/>
              <w:bottom w:val="single" w:sz="8" w:space="0" w:color="auto"/>
              <w:right w:val="single" w:sz="8" w:space="0" w:color="auto"/>
            </w:tcBorders>
            <w:shd w:val="clear" w:color="000000" w:fill="D9D9D9"/>
            <w:vAlign w:val="center"/>
            <w:hideMark/>
          </w:tcPr>
          <w:p w14:paraId="18CD4574"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-0.217</w:t>
            </w:r>
          </w:p>
        </w:tc>
        <w:tc>
          <w:tcPr>
            <w:tcW w:w="1244" w:type="dxa"/>
            <w:tcBorders>
              <w:top w:val="single" w:sz="8" w:space="0" w:color="auto"/>
              <w:left w:val="nil"/>
              <w:bottom w:val="single" w:sz="8" w:space="0" w:color="auto"/>
              <w:right w:val="single" w:sz="8" w:space="0" w:color="auto"/>
            </w:tcBorders>
            <w:shd w:val="clear" w:color="000000" w:fill="D9D9D9"/>
            <w:vAlign w:val="center"/>
            <w:hideMark/>
          </w:tcPr>
          <w:p w14:paraId="15EE3BC0"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2.880</w:t>
            </w:r>
          </w:p>
        </w:tc>
        <w:tc>
          <w:tcPr>
            <w:tcW w:w="1095" w:type="dxa"/>
            <w:tcBorders>
              <w:top w:val="nil"/>
              <w:left w:val="nil"/>
              <w:bottom w:val="single" w:sz="8" w:space="0" w:color="auto"/>
              <w:right w:val="single" w:sz="8" w:space="0" w:color="auto"/>
            </w:tcBorders>
            <w:shd w:val="clear" w:color="000000" w:fill="D9D9D9"/>
            <w:vAlign w:val="center"/>
            <w:hideMark/>
          </w:tcPr>
          <w:p w14:paraId="6F76E899"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-63.256</w:t>
            </w:r>
          </w:p>
        </w:tc>
      </w:tr>
      <w:tr w:rsidR="0015230B" w14:paraId="12D2FE33" w14:textId="77777777" w:rsidTr="00AB4589">
        <w:trPr>
          <w:trHeight w:val="376"/>
        </w:trPr>
        <w:tc>
          <w:tcPr>
            <w:tcW w:w="2823" w:type="dxa"/>
            <w:tcBorders>
              <w:top w:val="nil"/>
              <w:left w:val="single" w:sz="8" w:space="0" w:color="auto"/>
              <w:bottom w:val="single" w:sz="8" w:space="0" w:color="auto"/>
              <w:right w:val="single" w:sz="8" w:space="0" w:color="auto"/>
            </w:tcBorders>
            <w:shd w:val="clear" w:color="auto" w:fill="auto"/>
            <w:vAlign w:val="center"/>
            <w:hideMark/>
          </w:tcPr>
          <w:p w14:paraId="3049C5F1" w14:textId="77777777" w:rsidR="00AB4589" w:rsidRPr="00B516A9" w:rsidRDefault="00AB4589" w:rsidP="00AB4589">
            <w:pPr>
              <w:autoSpaceDE/>
              <w:autoSpaceDN/>
              <w:adjustRightInd/>
              <w:spacing w:after="0"/>
              <w:jc w:val="center"/>
              <w:rPr>
                <w:rFonts w:eastAsia="Times New Roman" w:cs="Arial"/>
                <w:lang w:eastAsia="en-GB"/>
              </w:rPr>
            </w:pPr>
          </w:p>
        </w:tc>
        <w:tc>
          <w:tcPr>
            <w:tcW w:w="1430" w:type="dxa"/>
            <w:tcBorders>
              <w:top w:val="nil"/>
              <w:left w:val="nil"/>
              <w:bottom w:val="single" w:sz="8" w:space="0" w:color="auto"/>
              <w:right w:val="single" w:sz="8" w:space="0" w:color="auto"/>
            </w:tcBorders>
            <w:shd w:val="clear" w:color="auto" w:fill="auto"/>
            <w:vAlign w:val="center"/>
            <w:hideMark/>
          </w:tcPr>
          <w:p w14:paraId="193B859F" w14:textId="77777777" w:rsidR="00AB4589" w:rsidRPr="00B516A9" w:rsidRDefault="00AB4589" w:rsidP="00AB4589">
            <w:pPr>
              <w:autoSpaceDE/>
              <w:autoSpaceDN/>
              <w:adjustRightInd/>
              <w:spacing w:after="0"/>
              <w:jc w:val="center"/>
              <w:rPr>
                <w:rFonts w:eastAsia="Times New Roman" w:cs="Arial"/>
                <w:b/>
                <w:bCs/>
                <w:lang w:eastAsia="en-GB"/>
              </w:rPr>
            </w:pPr>
          </w:p>
        </w:tc>
        <w:tc>
          <w:tcPr>
            <w:tcW w:w="1355" w:type="dxa"/>
            <w:tcBorders>
              <w:top w:val="nil"/>
              <w:left w:val="nil"/>
              <w:bottom w:val="single" w:sz="8" w:space="0" w:color="auto"/>
              <w:right w:val="single" w:sz="8" w:space="0" w:color="auto"/>
            </w:tcBorders>
            <w:shd w:val="clear" w:color="auto" w:fill="auto"/>
            <w:vAlign w:val="center"/>
            <w:hideMark/>
          </w:tcPr>
          <w:p w14:paraId="1B81DACA" w14:textId="77777777" w:rsidR="00AB4589" w:rsidRPr="00B516A9" w:rsidRDefault="00AB4589" w:rsidP="00AB4589">
            <w:pPr>
              <w:autoSpaceDE/>
              <w:autoSpaceDN/>
              <w:adjustRightInd/>
              <w:spacing w:after="0"/>
              <w:jc w:val="center"/>
              <w:rPr>
                <w:rFonts w:eastAsia="Times New Roman" w:cs="Arial"/>
                <w:b/>
                <w:bCs/>
                <w:lang w:eastAsia="en-GB"/>
              </w:rPr>
            </w:pPr>
          </w:p>
        </w:tc>
        <w:tc>
          <w:tcPr>
            <w:tcW w:w="1244" w:type="dxa"/>
            <w:tcBorders>
              <w:top w:val="nil"/>
              <w:left w:val="nil"/>
              <w:bottom w:val="single" w:sz="8" w:space="0" w:color="auto"/>
              <w:right w:val="single" w:sz="8" w:space="0" w:color="auto"/>
            </w:tcBorders>
            <w:shd w:val="clear" w:color="auto" w:fill="auto"/>
            <w:vAlign w:val="center"/>
            <w:hideMark/>
          </w:tcPr>
          <w:p w14:paraId="5FB3296F" w14:textId="77777777" w:rsidR="00AB4589" w:rsidRPr="00B516A9" w:rsidRDefault="00AB4589" w:rsidP="00AB4589">
            <w:pPr>
              <w:autoSpaceDE/>
              <w:autoSpaceDN/>
              <w:adjustRightInd/>
              <w:spacing w:after="0"/>
              <w:jc w:val="center"/>
              <w:rPr>
                <w:rFonts w:eastAsia="Times New Roman" w:cs="Arial"/>
                <w:b/>
                <w:bCs/>
                <w:lang w:eastAsia="en-GB"/>
              </w:rPr>
            </w:pPr>
          </w:p>
        </w:tc>
        <w:tc>
          <w:tcPr>
            <w:tcW w:w="1244" w:type="dxa"/>
            <w:tcBorders>
              <w:top w:val="nil"/>
              <w:left w:val="nil"/>
              <w:bottom w:val="single" w:sz="8" w:space="0" w:color="auto"/>
              <w:right w:val="single" w:sz="8" w:space="0" w:color="auto"/>
            </w:tcBorders>
            <w:shd w:val="clear" w:color="auto" w:fill="auto"/>
            <w:vAlign w:val="center"/>
            <w:hideMark/>
          </w:tcPr>
          <w:p w14:paraId="77496E0C" w14:textId="77777777" w:rsidR="00AB4589" w:rsidRPr="00B516A9" w:rsidRDefault="00AB4589" w:rsidP="00AB4589">
            <w:pPr>
              <w:autoSpaceDE/>
              <w:autoSpaceDN/>
              <w:adjustRightInd/>
              <w:spacing w:after="0"/>
              <w:jc w:val="center"/>
              <w:rPr>
                <w:rFonts w:eastAsia="Times New Roman" w:cs="Arial"/>
                <w:b/>
                <w:bCs/>
                <w:lang w:eastAsia="en-GB"/>
              </w:rPr>
            </w:pPr>
          </w:p>
        </w:tc>
        <w:tc>
          <w:tcPr>
            <w:tcW w:w="1095" w:type="dxa"/>
            <w:tcBorders>
              <w:top w:val="nil"/>
              <w:left w:val="nil"/>
              <w:bottom w:val="single" w:sz="8" w:space="0" w:color="auto"/>
              <w:right w:val="single" w:sz="8" w:space="0" w:color="auto"/>
            </w:tcBorders>
            <w:shd w:val="clear" w:color="auto" w:fill="auto"/>
            <w:vAlign w:val="center"/>
            <w:hideMark/>
          </w:tcPr>
          <w:p w14:paraId="570FC3AF" w14:textId="77777777" w:rsidR="00AB4589" w:rsidRPr="00B516A9" w:rsidRDefault="00AB4589" w:rsidP="00AB4589">
            <w:pPr>
              <w:autoSpaceDE/>
              <w:autoSpaceDN/>
              <w:adjustRightInd/>
              <w:spacing w:after="0"/>
              <w:jc w:val="center"/>
              <w:rPr>
                <w:rFonts w:eastAsia="Times New Roman" w:cs="Arial"/>
                <w:b/>
                <w:bCs/>
                <w:lang w:eastAsia="en-GB"/>
              </w:rPr>
            </w:pPr>
          </w:p>
        </w:tc>
      </w:tr>
      <w:tr w:rsidR="0015230B" w14:paraId="12BE71CE" w14:textId="77777777" w:rsidTr="00AB4589">
        <w:trPr>
          <w:trHeight w:val="348"/>
        </w:trPr>
        <w:tc>
          <w:tcPr>
            <w:tcW w:w="2823" w:type="dxa"/>
            <w:tcBorders>
              <w:top w:val="nil"/>
              <w:left w:val="single" w:sz="8" w:space="0" w:color="auto"/>
              <w:bottom w:val="nil"/>
              <w:right w:val="single" w:sz="8" w:space="0" w:color="auto"/>
            </w:tcBorders>
            <w:shd w:val="clear" w:color="000000" w:fill="BFBFBF"/>
            <w:vAlign w:val="center"/>
            <w:hideMark/>
          </w:tcPr>
          <w:p w14:paraId="436E940A"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Funding gap</w:t>
            </w:r>
          </w:p>
        </w:tc>
        <w:tc>
          <w:tcPr>
            <w:tcW w:w="1430" w:type="dxa"/>
            <w:tcBorders>
              <w:top w:val="nil"/>
              <w:left w:val="nil"/>
              <w:bottom w:val="nil"/>
              <w:right w:val="single" w:sz="8" w:space="0" w:color="auto"/>
            </w:tcBorders>
            <w:shd w:val="clear" w:color="000000" w:fill="D9D9D9"/>
            <w:vAlign w:val="center"/>
            <w:hideMark/>
          </w:tcPr>
          <w:p w14:paraId="04320F3D"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0.000</w:t>
            </w:r>
          </w:p>
        </w:tc>
        <w:tc>
          <w:tcPr>
            <w:tcW w:w="1355" w:type="dxa"/>
            <w:tcBorders>
              <w:top w:val="nil"/>
              <w:left w:val="nil"/>
              <w:bottom w:val="nil"/>
              <w:right w:val="single" w:sz="8" w:space="0" w:color="auto"/>
            </w:tcBorders>
            <w:shd w:val="clear" w:color="000000" w:fill="D9D9D9"/>
            <w:vAlign w:val="center"/>
            <w:hideMark/>
          </w:tcPr>
          <w:p w14:paraId="0F7F5534"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-5.188</w:t>
            </w:r>
          </w:p>
        </w:tc>
        <w:tc>
          <w:tcPr>
            <w:tcW w:w="1244" w:type="dxa"/>
            <w:tcBorders>
              <w:top w:val="nil"/>
              <w:left w:val="nil"/>
              <w:bottom w:val="nil"/>
              <w:right w:val="single" w:sz="8" w:space="0" w:color="auto"/>
            </w:tcBorders>
            <w:shd w:val="clear" w:color="000000" w:fill="D9D9D9"/>
            <w:vAlign w:val="center"/>
            <w:hideMark/>
          </w:tcPr>
          <w:p w14:paraId="22F46EA7"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14.1</w:t>
            </w:r>
            <w:r>
              <w:rPr>
                <w:rFonts w:eastAsia="Times New Roman" w:cs="Arial"/>
                <w:b/>
                <w:bCs/>
                <w:lang w:eastAsia="en-GB"/>
              </w:rPr>
              <w:t>49</w:t>
            </w:r>
          </w:p>
        </w:tc>
        <w:tc>
          <w:tcPr>
            <w:tcW w:w="1244" w:type="dxa"/>
            <w:tcBorders>
              <w:top w:val="nil"/>
              <w:left w:val="nil"/>
              <w:bottom w:val="nil"/>
              <w:right w:val="single" w:sz="8" w:space="0" w:color="auto"/>
            </w:tcBorders>
            <w:shd w:val="clear" w:color="000000" w:fill="D9D9D9"/>
            <w:vAlign w:val="center"/>
            <w:hideMark/>
          </w:tcPr>
          <w:p w14:paraId="1645D071"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19.477</w:t>
            </w:r>
          </w:p>
        </w:tc>
        <w:tc>
          <w:tcPr>
            <w:tcW w:w="1095" w:type="dxa"/>
            <w:tcBorders>
              <w:top w:val="nil"/>
              <w:left w:val="nil"/>
              <w:bottom w:val="nil"/>
              <w:right w:val="single" w:sz="8" w:space="0" w:color="auto"/>
            </w:tcBorders>
            <w:shd w:val="clear" w:color="000000" w:fill="D9D9D9"/>
            <w:vAlign w:val="center"/>
            <w:hideMark/>
          </w:tcPr>
          <w:p w14:paraId="0F5A3561"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28.438</w:t>
            </w:r>
          </w:p>
        </w:tc>
      </w:tr>
      <w:tr w:rsidR="0015230B" w14:paraId="381F8FA5" w14:textId="77777777" w:rsidTr="00AB4589">
        <w:trPr>
          <w:trHeight w:val="306"/>
        </w:trPr>
        <w:tc>
          <w:tcPr>
            <w:tcW w:w="28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209BB7" w14:textId="77777777" w:rsidR="00AB4589" w:rsidRPr="00B516A9" w:rsidRDefault="00AB4589" w:rsidP="00AB4589">
            <w:pPr>
              <w:autoSpaceDE/>
              <w:autoSpaceDN/>
              <w:adjustRightInd/>
              <w:spacing w:after="0"/>
              <w:jc w:val="center"/>
              <w:rPr>
                <w:rFonts w:eastAsia="Times New Roman" w:cs="Arial"/>
                <w:lang w:eastAsia="en-GB"/>
              </w:rPr>
            </w:pPr>
          </w:p>
        </w:tc>
        <w:tc>
          <w:tcPr>
            <w:tcW w:w="1430" w:type="dxa"/>
            <w:tcBorders>
              <w:top w:val="single" w:sz="8" w:space="0" w:color="auto"/>
              <w:left w:val="nil"/>
              <w:bottom w:val="single" w:sz="8" w:space="0" w:color="auto"/>
              <w:right w:val="single" w:sz="8" w:space="0" w:color="auto"/>
            </w:tcBorders>
            <w:shd w:val="clear" w:color="auto" w:fill="auto"/>
            <w:vAlign w:val="center"/>
            <w:hideMark/>
          </w:tcPr>
          <w:p w14:paraId="110297F2" w14:textId="77777777" w:rsidR="00AB4589" w:rsidRPr="00B516A9" w:rsidRDefault="00AB4589" w:rsidP="00AB4589">
            <w:pPr>
              <w:autoSpaceDE/>
              <w:autoSpaceDN/>
              <w:adjustRightInd/>
              <w:spacing w:after="0"/>
              <w:jc w:val="center"/>
              <w:rPr>
                <w:rFonts w:eastAsia="Times New Roman" w:cs="Arial"/>
                <w:lang w:eastAsia="en-GB"/>
              </w:rPr>
            </w:pPr>
          </w:p>
        </w:tc>
        <w:tc>
          <w:tcPr>
            <w:tcW w:w="1355" w:type="dxa"/>
            <w:tcBorders>
              <w:top w:val="single" w:sz="8" w:space="0" w:color="auto"/>
              <w:left w:val="nil"/>
              <w:bottom w:val="single" w:sz="8" w:space="0" w:color="auto"/>
              <w:right w:val="single" w:sz="8" w:space="0" w:color="auto"/>
            </w:tcBorders>
            <w:shd w:val="clear" w:color="auto" w:fill="auto"/>
            <w:vAlign w:val="center"/>
            <w:hideMark/>
          </w:tcPr>
          <w:p w14:paraId="2B8BD7F0" w14:textId="77777777" w:rsidR="00AB4589" w:rsidRPr="00B516A9" w:rsidRDefault="00AB4589" w:rsidP="00AB4589">
            <w:pPr>
              <w:autoSpaceDE/>
              <w:autoSpaceDN/>
              <w:adjustRightInd/>
              <w:spacing w:after="0"/>
              <w:jc w:val="center"/>
              <w:rPr>
                <w:rFonts w:eastAsia="Times New Roman" w:cs="Arial"/>
                <w:lang w:eastAsia="en-GB"/>
              </w:rPr>
            </w:pPr>
          </w:p>
        </w:tc>
        <w:tc>
          <w:tcPr>
            <w:tcW w:w="1244" w:type="dxa"/>
            <w:tcBorders>
              <w:top w:val="single" w:sz="8" w:space="0" w:color="auto"/>
              <w:left w:val="nil"/>
              <w:bottom w:val="single" w:sz="8" w:space="0" w:color="auto"/>
              <w:right w:val="single" w:sz="8" w:space="0" w:color="auto"/>
            </w:tcBorders>
            <w:shd w:val="clear" w:color="auto" w:fill="auto"/>
            <w:vAlign w:val="center"/>
            <w:hideMark/>
          </w:tcPr>
          <w:p w14:paraId="2EE7CE6E" w14:textId="77777777" w:rsidR="00AB4589" w:rsidRPr="00B516A9" w:rsidRDefault="00AB4589" w:rsidP="00AB4589">
            <w:pPr>
              <w:autoSpaceDE/>
              <w:autoSpaceDN/>
              <w:adjustRightInd/>
              <w:spacing w:after="0"/>
              <w:jc w:val="center"/>
              <w:rPr>
                <w:rFonts w:eastAsia="Times New Roman" w:cs="Arial"/>
                <w:lang w:eastAsia="en-GB"/>
              </w:rPr>
            </w:pPr>
          </w:p>
        </w:tc>
        <w:tc>
          <w:tcPr>
            <w:tcW w:w="1244" w:type="dxa"/>
            <w:tcBorders>
              <w:top w:val="single" w:sz="8" w:space="0" w:color="auto"/>
              <w:left w:val="nil"/>
              <w:bottom w:val="single" w:sz="8" w:space="0" w:color="auto"/>
              <w:right w:val="single" w:sz="8" w:space="0" w:color="auto"/>
            </w:tcBorders>
            <w:shd w:val="clear" w:color="auto" w:fill="auto"/>
            <w:vAlign w:val="center"/>
            <w:hideMark/>
          </w:tcPr>
          <w:p w14:paraId="0DE72D4D" w14:textId="77777777" w:rsidR="00AB4589" w:rsidRPr="00B516A9" w:rsidRDefault="00AB4589" w:rsidP="00AB4589">
            <w:pPr>
              <w:autoSpaceDE/>
              <w:autoSpaceDN/>
              <w:adjustRightInd/>
              <w:spacing w:after="0"/>
              <w:jc w:val="center"/>
              <w:rPr>
                <w:rFonts w:eastAsia="Times New Roman" w:cs="Arial"/>
                <w:b/>
                <w:bCs/>
                <w:lang w:eastAsia="en-GB"/>
              </w:rPr>
            </w:pPr>
          </w:p>
        </w:tc>
        <w:tc>
          <w:tcPr>
            <w:tcW w:w="1095" w:type="dxa"/>
            <w:tcBorders>
              <w:top w:val="single" w:sz="8" w:space="0" w:color="auto"/>
              <w:left w:val="nil"/>
              <w:bottom w:val="single" w:sz="8" w:space="0" w:color="auto"/>
              <w:right w:val="single" w:sz="8" w:space="0" w:color="auto"/>
            </w:tcBorders>
            <w:shd w:val="clear" w:color="auto" w:fill="auto"/>
            <w:vAlign w:val="center"/>
            <w:hideMark/>
          </w:tcPr>
          <w:p w14:paraId="78C1A68E" w14:textId="77777777" w:rsidR="00AB4589" w:rsidRPr="00B516A9" w:rsidRDefault="00AB4589" w:rsidP="00AB4589">
            <w:pPr>
              <w:autoSpaceDE/>
              <w:autoSpaceDN/>
              <w:adjustRightInd/>
              <w:spacing w:after="0"/>
              <w:jc w:val="center"/>
              <w:rPr>
                <w:rFonts w:eastAsia="Times New Roman" w:cs="Arial"/>
                <w:b/>
                <w:bCs/>
                <w:lang w:eastAsia="en-GB"/>
              </w:rPr>
            </w:pPr>
          </w:p>
        </w:tc>
      </w:tr>
      <w:tr w:rsidR="0015230B" w14:paraId="62D0296F" w14:textId="77777777" w:rsidTr="00AB4589">
        <w:trPr>
          <w:trHeight w:val="571"/>
        </w:trPr>
        <w:tc>
          <w:tcPr>
            <w:tcW w:w="2823" w:type="dxa"/>
            <w:tcBorders>
              <w:top w:val="nil"/>
              <w:left w:val="single" w:sz="8" w:space="0" w:color="auto"/>
              <w:bottom w:val="single" w:sz="8" w:space="0" w:color="auto"/>
              <w:right w:val="single" w:sz="8" w:space="0" w:color="auto"/>
            </w:tcBorders>
            <w:shd w:val="clear" w:color="auto" w:fill="auto"/>
            <w:hideMark/>
          </w:tcPr>
          <w:p w14:paraId="2DD682BC"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Forecast net budget requirement</w:t>
            </w:r>
          </w:p>
        </w:tc>
        <w:tc>
          <w:tcPr>
            <w:tcW w:w="1430" w:type="dxa"/>
            <w:tcBorders>
              <w:top w:val="nil"/>
              <w:left w:val="nil"/>
              <w:bottom w:val="single" w:sz="8" w:space="0" w:color="auto"/>
              <w:right w:val="single" w:sz="8" w:space="0" w:color="auto"/>
            </w:tcBorders>
            <w:shd w:val="clear" w:color="auto" w:fill="auto"/>
            <w:vAlign w:val="center"/>
            <w:hideMark/>
          </w:tcPr>
          <w:p w14:paraId="19623F50"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842.190</w:t>
            </w:r>
          </w:p>
        </w:tc>
        <w:tc>
          <w:tcPr>
            <w:tcW w:w="1355" w:type="dxa"/>
            <w:tcBorders>
              <w:top w:val="nil"/>
              <w:left w:val="nil"/>
              <w:bottom w:val="single" w:sz="8" w:space="0" w:color="auto"/>
              <w:right w:val="single" w:sz="8" w:space="0" w:color="auto"/>
            </w:tcBorders>
            <w:shd w:val="clear" w:color="auto" w:fill="auto"/>
            <w:vAlign w:val="center"/>
            <w:hideMark/>
          </w:tcPr>
          <w:p w14:paraId="6923B1CF"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863.288</w:t>
            </w:r>
          </w:p>
        </w:tc>
        <w:tc>
          <w:tcPr>
            <w:tcW w:w="1244" w:type="dxa"/>
            <w:tcBorders>
              <w:top w:val="nil"/>
              <w:left w:val="nil"/>
              <w:bottom w:val="single" w:sz="8" w:space="0" w:color="auto"/>
              <w:right w:val="single" w:sz="8" w:space="0" w:color="auto"/>
            </w:tcBorders>
            <w:shd w:val="clear" w:color="auto" w:fill="auto"/>
            <w:vAlign w:val="center"/>
            <w:hideMark/>
          </w:tcPr>
          <w:p w14:paraId="1969328F"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903.350</w:t>
            </w:r>
          </w:p>
        </w:tc>
        <w:tc>
          <w:tcPr>
            <w:tcW w:w="1244" w:type="dxa"/>
            <w:tcBorders>
              <w:top w:val="nil"/>
              <w:left w:val="nil"/>
              <w:bottom w:val="single" w:sz="8" w:space="0" w:color="auto"/>
              <w:right w:val="single" w:sz="8" w:space="0" w:color="auto"/>
            </w:tcBorders>
            <w:shd w:val="clear" w:color="auto" w:fill="auto"/>
            <w:vAlign w:val="center"/>
            <w:hideMark/>
          </w:tcPr>
          <w:p w14:paraId="73C5620D"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929.538</w:t>
            </w:r>
          </w:p>
        </w:tc>
        <w:tc>
          <w:tcPr>
            <w:tcW w:w="1095" w:type="dxa"/>
            <w:tcBorders>
              <w:top w:val="nil"/>
              <w:left w:val="nil"/>
              <w:bottom w:val="single" w:sz="8" w:space="0" w:color="auto"/>
              <w:right w:val="single" w:sz="8" w:space="0" w:color="auto"/>
            </w:tcBorders>
            <w:shd w:val="clear" w:color="auto" w:fill="auto"/>
            <w:vAlign w:val="center"/>
            <w:hideMark/>
          </w:tcPr>
          <w:p w14:paraId="764F7F36" w14:textId="77777777" w:rsidR="00AB4589" w:rsidRPr="00B516A9" w:rsidRDefault="00AB4589" w:rsidP="00AB4589">
            <w:pPr>
              <w:autoSpaceDE/>
              <w:autoSpaceDN/>
              <w:adjustRightInd/>
              <w:spacing w:after="0"/>
              <w:jc w:val="center"/>
              <w:rPr>
                <w:rFonts w:eastAsia="Times New Roman" w:cs="Arial"/>
                <w:b/>
                <w:bCs/>
                <w:lang w:eastAsia="en-GB"/>
              </w:rPr>
            </w:pPr>
          </w:p>
        </w:tc>
      </w:tr>
      <w:tr w:rsidR="0015230B" w14:paraId="370BD8C7" w14:textId="77777777" w:rsidTr="00AB4589">
        <w:trPr>
          <w:trHeight w:val="306"/>
        </w:trPr>
        <w:tc>
          <w:tcPr>
            <w:tcW w:w="2823" w:type="dxa"/>
            <w:tcBorders>
              <w:top w:val="nil"/>
              <w:left w:val="single" w:sz="8" w:space="0" w:color="auto"/>
              <w:bottom w:val="single" w:sz="8" w:space="0" w:color="auto"/>
              <w:right w:val="single" w:sz="8" w:space="0" w:color="auto"/>
            </w:tcBorders>
            <w:shd w:val="clear" w:color="auto" w:fill="auto"/>
            <w:hideMark/>
          </w:tcPr>
          <w:p w14:paraId="66D27A0A" w14:textId="77777777" w:rsidR="00AB4589" w:rsidRPr="00B516A9" w:rsidRDefault="00AB4589" w:rsidP="00AB4589">
            <w:pPr>
              <w:autoSpaceDE/>
              <w:autoSpaceDN/>
              <w:adjustRightInd/>
              <w:spacing w:after="0"/>
              <w:jc w:val="center"/>
              <w:rPr>
                <w:rFonts w:eastAsia="Times New Roman" w:cs="Arial"/>
                <w:b/>
                <w:bCs/>
                <w:lang w:eastAsia="en-GB"/>
              </w:rPr>
            </w:pPr>
            <w:r w:rsidRPr="00B516A9">
              <w:rPr>
                <w:rFonts w:eastAsia="Times New Roman" w:cs="Arial"/>
                <w:b/>
                <w:bCs/>
                <w:lang w:eastAsia="en-GB"/>
              </w:rPr>
              <w:t>Funding</w:t>
            </w:r>
          </w:p>
        </w:tc>
        <w:tc>
          <w:tcPr>
            <w:tcW w:w="1430" w:type="dxa"/>
            <w:tcBorders>
              <w:top w:val="nil"/>
              <w:left w:val="nil"/>
              <w:bottom w:val="single" w:sz="8" w:space="0" w:color="auto"/>
              <w:right w:val="single" w:sz="8" w:space="0" w:color="auto"/>
            </w:tcBorders>
            <w:shd w:val="clear" w:color="auto" w:fill="auto"/>
            <w:vAlign w:val="center"/>
            <w:hideMark/>
          </w:tcPr>
          <w:p w14:paraId="33A0AEFF"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842.190</w:t>
            </w:r>
          </w:p>
        </w:tc>
        <w:tc>
          <w:tcPr>
            <w:tcW w:w="1355" w:type="dxa"/>
            <w:tcBorders>
              <w:top w:val="nil"/>
              <w:left w:val="nil"/>
              <w:bottom w:val="single" w:sz="8" w:space="0" w:color="auto"/>
              <w:right w:val="single" w:sz="8" w:space="0" w:color="auto"/>
            </w:tcBorders>
            <w:shd w:val="clear" w:color="auto" w:fill="auto"/>
            <w:vAlign w:val="center"/>
            <w:hideMark/>
          </w:tcPr>
          <w:p w14:paraId="36662C8D"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868.476</w:t>
            </w:r>
          </w:p>
        </w:tc>
        <w:tc>
          <w:tcPr>
            <w:tcW w:w="1244" w:type="dxa"/>
            <w:tcBorders>
              <w:top w:val="nil"/>
              <w:left w:val="nil"/>
              <w:bottom w:val="single" w:sz="8" w:space="0" w:color="auto"/>
              <w:right w:val="single" w:sz="8" w:space="0" w:color="auto"/>
            </w:tcBorders>
            <w:shd w:val="clear" w:color="auto" w:fill="auto"/>
            <w:vAlign w:val="center"/>
            <w:hideMark/>
          </w:tcPr>
          <w:p w14:paraId="08C7F4BE"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889.20</w:t>
            </w:r>
            <w:r>
              <w:rPr>
                <w:rFonts w:eastAsia="Times New Roman" w:cs="Arial"/>
                <w:lang w:eastAsia="en-GB"/>
              </w:rPr>
              <w:t>1</w:t>
            </w:r>
          </w:p>
        </w:tc>
        <w:tc>
          <w:tcPr>
            <w:tcW w:w="1244" w:type="dxa"/>
            <w:tcBorders>
              <w:top w:val="nil"/>
              <w:left w:val="nil"/>
              <w:bottom w:val="single" w:sz="8" w:space="0" w:color="auto"/>
              <w:right w:val="single" w:sz="8" w:space="0" w:color="auto"/>
            </w:tcBorders>
            <w:shd w:val="clear" w:color="auto" w:fill="auto"/>
            <w:vAlign w:val="center"/>
            <w:hideMark/>
          </w:tcPr>
          <w:p w14:paraId="7A04D67D" w14:textId="77777777" w:rsidR="00AB4589" w:rsidRPr="00B516A9" w:rsidRDefault="00AB4589" w:rsidP="00AB4589">
            <w:pPr>
              <w:autoSpaceDE/>
              <w:autoSpaceDN/>
              <w:adjustRightInd/>
              <w:spacing w:after="0"/>
              <w:jc w:val="center"/>
              <w:rPr>
                <w:rFonts w:eastAsia="Times New Roman" w:cs="Arial"/>
                <w:lang w:eastAsia="en-GB"/>
              </w:rPr>
            </w:pPr>
            <w:r w:rsidRPr="00B516A9">
              <w:rPr>
                <w:rFonts w:eastAsia="Times New Roman" w:cs="Arial"/>
                <w:lang w:eastAsia="en-GB"/>
              </w:rPr>
              <w:t>910.06</w:t>
            </w:r>
            <w:r>
              <w:rPr>
                <w:rFonts w:eastAsia="Times New Roman" w:cs="Arial"/>
                <w:lang w:eastAsia="en-GB"/>
              </w:rPr>
              <w:t>1</w:t>
            </w:r>
          </w:p>
        </w:tc>
        <w:tc>
          <w:tcPr>
            <w:tcW w:w="1095" w:type="dxa"/>
            <w:tcBorders>
              <w:top w:val="nil"/>
              <w:left w:val="nil"/>
              <w:bottom w:val="single" w:sz="8" w:space="0" w:color="auto"/>
              <w:right w:val="single" w:sz="8" w:space="0" w:color="auto"/>
            </w:tcBorders>
            <w:shd w:val="clear" w:color="auto" w:fill="auto"/>
            <w:vAlign w:val="center"/>
            <w:hideMark/>
          </w:tcPr>
          <w:p w14:paraId="26A585D4" w14:textId="77777777" w:rsidR="00AB4589" w:rsidRPr="00B516A9" w:rsidRDefault="00AB4589" w:rsidP="00AB4589">
            <w:pPr>
              <w:autoSpaceDE/>
              <w:autoSpaceDN/>
              <w:adjustRightInd/>
              <w:spacing w:after="0"/>
              <w:jc w:val="center"/>
              <w:rPr>
                <w:rFonts w:eastAsia="Times New Roman" w:cs="Arial"/>
                <w:b/>
                <w:bCs/>
                <w:lang w:eastAsia="en-GB"/>
              </w:rPr>
            </w:pPr>
          </w:p>
        </w:tc>
      </w:tr>
    </w:tbl>
    <w:p w14:paraId="5C881E10" w14:textId="77777777" w:rsidR="00AB4589" w:rsidRDefault="00AB4589" w:rsidP="00AB4589">
      <w:pPr>
        <w:tabs>
          <w:tab w:val="left" w:pos="567"/>
          <w:tab w:val="left" w:pos="1134"/>
        </w:tabs>
        <w:spacing w:after="0"/>
        <w:rPr>
          <w:rFonts w:cs="Arial"/>
          <w:highlight w:val="yellow"/>
        </w:rPr>
      </w:pPr>
    </w:p>
    <w:tbl>
      <w:tblPr>
        <w:tblW w:w="8070" w:type="dxa"/>
        <w:tblLook w:val="04A0" w:firstRow="1" w:lastRow="0" w:firstColumn="1" w:lastColumn="0" w:noHBand="0" w:noVBand="1"/>
      </w:tblPr>
      <w:tblGrid>
        <w:gridCol w:w="2825"/>
        <w:gridCol w:w="1418"/>
        <w:gridCol w:w="1417"/>
        <w:gridCol w:w="1276"/>
        <w:gridCol w:w="1134"/>
      </w:tblGrid>
      <w:tr w:rsidR="0015230B" w14:paraId="3E93630E" w14:textId="77777777" w:rsidTr="00AB4589">
        <w:trPr>
          <w:trHeight w:val="520"/>
        </w:trPr>
        <w:tc>
          <w:tcPr>
            <w:tcW w:w="282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CF6287F" w14:textId="77777777" w:rsidR="00AB4589" w:rsidRPr="006C2CA5" w:rsidRDefault="00AB4589" w:rsidP="00AB4589">
            <w:pPr>
              <w:autoSpaceDE/>
              <w:autoSpaceDN/>
              <w:adjustRightInd/>
              <w:spacing w:after="0"/>
              <w:jc w:val="left"/>
              <w:rPr>
                <w:rFonts w:eastAsia="Times New Roman" w:cs="Arial"/>
                <w:b/>
                <w:bCs/>
                <w:lang w:eastAsia="en-GB"/>
              </w:rPr>
            </w:pPr>
            <w:r w:rsidRPr="006C2CA5">
              <w:rPr>
                <w:rFonts w:eastAsia="Times New Roman" w:cs="Arial"/>
                <w:b/>
                <w:bCs/>
                <w:lang w:eastAsia="en-GB"/>
              </w:rPr>
              <w:t xml:space="preserve">Aggregated </w:t>
            </w:r>
            <w:r>
              <w:rPr>
                <w:rFonts w:eastAsia="Times New Roman" w:cs="Arial"/>
                <w:b/>
                <w:bCs/>
                <w:lang w:eastAsia="en-GB"/>
              </w:rPr>
              <w:t>f</w:t>
            </w:r>
            <w:r w:rsidRPr="006C2CA5">
              <w:rPr>
                <w:rFonts w:eastAsia="Times New Roman" w:cs="Arial"/>
                <w:b/>
                <w:bCs/>
                <w:lang w:eastAsia="en-GB"/>
              </w:rPr>
              <w:t xml:space="preserve">unding </w:t>
            </w:r>
            <w:r>
              <w:rPr>
                <w:rFonts w:eastAsia="Times New Roman" w:cs="Arial"/>
                <w:b/>
                <w:bCs/>
                <w:lang w:eastAsia="en-GB"/>
              </w:rPr>
              <w:t>g</w:t>
            </w:r>
            <w:r w:rsidRPr="006C2CA5">
              <w:rPr>
                <w:rFonts w:eastAsia="Times New Roman" w:cs="Arial"/>
                <w:b/>
                <w:bCs/>
                <w:lang w:eastAsia="en-GB"/>
              </w:rPr>
              <w:t>ap</w:t>
            </w:r>
          </w:p>
        </w:tc>
        <w:tc>
          <w:tcPr>
            <w:tcW w:w="1418" w:type="dxa"/>
            <w:tcBorders>
              <w:top w:val="single" w:sz="8" w:space="0" w:color="auto"/>
              <w:left w:val="nil"/>
              <w:bottom w:val="single" w:sz="8" w:space="0" w:color="auto"/>
              <w:right w:val="single" w:sz="8" w:space="0" w:color="auto"/>
            </w:tcBorders>
            <w:shd w:val="clear" w:color="000000" w:fill="BFBFBF"/>
            <w:vAlign w:val="center"/>
            <w:hideMark/>
          </w:tcPr>
          <w:p w14:paraId="3A7C846D" w14:textId="77777777" w:rsidR="00AB4589" w:rsidRPr="006C2CA5" w:rsidRDefault="00AB4589" w:rsidP="00AB4589">
            <w:pPr>
              <w:autoSpaceDE/>
              <w:autoSpaceDN/>
              <w:adjustRightInd/>
              <w:spacing w:after="0"/>
              <w:jc w:val="center"/>
              <w:rPr>
                <w:rFonts w:eastAsia="Times New Roman" w:cs="Arial"/>
                <w:b/>
                <w:bCs/>
                <w:lang w:eastAsia="en-GB"/>
              </w:rPr>
            </w:pPr>
            <w:r w:rsidRPr="006C2CA5">
              <w:rPr>
                <w:rFonts w:eastAsia="Times New Roman" w:cs="Arial"/>
                <w:b/>
                <w:bCs/>
                <w:lang w:eastAsia="en-GB"/>
              </w:rPr>
              <w:t>2020/21</w:t>
            </w:r>
          </w:p>
        </w:tc>
        <w:tc>
          <w:tcPr>
            <w:tcW w:w="1417" w:type="dxa"/>
            <w:tcBorders>
              <w:top w:val="single" w:sz="8" w:space="0" w:color="auto"/>
              <w:left w:val="nil"/>
              <w:bottom w:val="single" w:sz="8" w:space="0" w:color="auto"/>
              <w:right w:val="single" w:sz="8" w:space="0" w:color="auto"/>
            </w:tcBorders>
            <w:shd w:val="clear" w:color="000000" w:fill="BFBFBF"/>
            <w:vAlign w:val="center"/>
            <w:hideMark/>
          </w:tcPr>
          <w:p w14:paraId="55F11FD7" w14:textId="77777777" w:rsidR="00AB4589" w:rsidRPr="006C2CA5" w:rsidRDefault="00AB4589" w:rsidP="00AB4589">
            <w:pPr>
              <w:autoSpaceDE/>
              <w:autoSpaceDN/>
              <w:adjustRightInd/>
              <w:spacing w:after="0"/>
              <w:jc w:val="center"/>
              <w:rPr>
                <w:rFonts w:eastAsia="Times New Roman" w:cs="Arial"/>
                <w:b/>
                <w:bCs/>
                <w:lang w:eastAsia="en-GB"/>
              </w:rPr>
            </w:pPr>
            <w:r w:rsidRPr="006C2CA5">
              <w:rPr>
                <w:rFonts w:eastAsia="Times New Roman" w:cs="Arial"/>
                <w:b/>
                <w:bCs/>
                <w:lang w:eastAsia="en-GB"/>
              </w:rPr>
              <w:t>2021/22</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1E5F5792" w14:textId="77777777" w:rsidR="00AB4589" w:rsidRPr="006C2CA5" w:rsidRDefault="00AB4589" w:rsidP="00AB4589">
            <w:pPr>
              <w:autoSpaceDE/>
              <w:autoSpaceDN/>
              <w:adjustRightInd/>
              <w:spacing w:after="0"/>
              <w:jc w:val="center"/>
              <w:rPr>
                <w:rFonts w:eastAsia="Times New Roman" w:cs="Arial"/>
                <w:b/>
                <w:bCs/>
                <w:lang w:eastAsia="en-GB"/>
              </w:rPr>
            </w:pPr>
            <w:r w:rsidRPr="006C2CA5">
              <w:rPr>
                <w:rFonts w:eastAsia="Times New Roman" w:cs="Arial"/>
                <w:b/>
                <w:bCs/>
                <w:lang w:eastAsia="en-GB"/>
              </w:rPr>
              <w:t>2022/23</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AAF350F" w14:textId="77777777" w:rsidR="00AB4589" w:rsidRPr="006C2CA5" w:rsidRDefault="00AB4589" w:rsidP="00AB4589">
            <w:pPr>
              <w:autoSpaceDE/>
              <w:autoSpaceDN/>
              <w:adjustRightInd/>
              <w:spacing w:after="0"/>
              <w:jc w:val="center"/>
              <w:rPr>
                <w:rFonts w:eastAsia="Times New Roman" w:cs="Arial"/>
                <w:b/>
                <w:bCs/>
                <w:lang w:eastAsia="en-GB"/>
              </w:rPr>
            </w:pPr>
            <w:r w:rsidRPr="006C2CA5">
              <w:rPr>
                <w:rFonts w:eastAsia="Times New Roman" w:cs="Arial"/>
                <w:b/>
                <w:bCs/>
                <w:lang w:eastAsia="en-GB"/>
              </w:rPr>
              <w:t>2023/24</w:t>
            </w:r>
          </w:p>
        </w:tc>
      </w:tr>
      <w:tr w:rsidR="0015230B" w14:paraId="10C73570" w14:textId="77777777" w:rsidTr="00AB4589">
        <w:trPr>
          <w:trHeight w:val="374"/>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374BEB6D" w14:textId="77777777" w:rsidR="00AB4589" w:rsidRPr="006C2CA5" w:rsidRDefault="00AB4589" w:rsidP="00AB4589">
            <w:pPr>
              <w:autoSpaceDE/>
              <w:autoSpaceDN/>
              <w:adjustRightInd/>
              <w:spacing w:after="0"/>
              <w:jc w:val="left"/>
              <w:rPr>
                <w:rFonts w:eastAsia="Times New Roman" w:cs="Arial"/>
                <w:b/>
                <w:bCs/>
                <w:lang w:eastAsia="en-GB"/>
              </w:rPr>
            </w:pPr>
            <w:r w:rsidRPr="006C2CA5">
              <w:rPr>
                <w:rFonts w:eastAsia="Times New Roman" w:cs="Arial"/>
                <w:b/>
                <w:bCs/>
                <w:lang w:eastAsia="en-GB"/>
              </w:rPr>
              <w:t>2020/21 (£m)</w:t>
            </w:r>
          </w:p>
        </w:tc>
        <w:tc>
          <w:tcPr>
            <w:tcW w:w="1418" w:type="dxa"/>
            <w:tcBorders>
              <w:top w:val="nil"/>
              <w:left w:val="nil"/>
              <w:bottom w:val="single" w:sz="8" w:space="0" w:color="auto"/>
              <w:right w:val="single" w:sz="8" w:space="0" w:color="auto"/>
            </w:tcBorders>
            <w:shd w:val="clear" w:color="auto" w:fill="auto"/>
            <w:vAlign w:val="center"/>
            <w:hideMark/>
          </w:tcPr>
          <w:p w14:paraId="7693782E" w14:textId="77777777" w:rsidR="00AB4589" w:rsidRPr="006C2CA5" w:rsidRDefault="00AB4589" w:rsidP="00AB4589">
            <w:pPr>
              <w:autoSpaceDE/>
              <w:autoSpaceDN/>
              <w:adjustRightInd/>
              <w:spacing w:after="0"/>
              <w:jc w:val="center"/>
              <w:rPr>
                <w:rFonts w:eastAsia="Times New Roman" w:cs="Arial"/>
                <w:lang w:eastAsia="en-GB"/>
              </w:rPr>
            </w:pPr>
            <w:r w:rsidRPr="006C2CA5">
              <w:rPr>
                <w:rFonts w:eastAsia="Times New Roman" w:cs="Arial"/>
                <w:lang w:eastAsia="en-GB"/>
              </w:rPr>
              <w:t>0.000</w:t>
            </w:r>
          </w:p>
        </w:tc>
        <w:tc>
          <w:tcPr>
            <w:tcW w:w="1417" w:type="dxa"/>
            <w:tcBorders>
              <w:top w:val="nil"/>
              <w:left w:val="nil"/>
              <w:bottom w:val="single" w:sz="8" w:space="0" w:color="auto"/>
              <w:right w:val="single" w:sz="8" w:space="0" w:color="auto"/>
            </w:tcBorders>
            <w:shd w:val="clear" w:color="auto" w:fill="auto"/>
            <w:vAlign w:val="center"/>
            <w:hideMark/>
          </w:tcPr>
          <w:p w14:paraId="127676C6" w14:textId="77777777" w:rsidR="00AB4589" w:rsidRPr="006C2CA5" w:rsidRDefault="00AB4589" w:rsidP="00AB4589">
            <w:pPr>
              <w:autoSpaceDE/>
              <w:autoSpaceDN/>
              <w:adjustRightInd/>
              <w:spacing w:after="0"/>
              <w:jc w:val="center"/>
              <w:rPr>
                <w:rFonts w:eastAsia="Times New Roman" w:cs="Arial"/>
                <w:lang w:eastAsia="en-GB"/>
              </w:rPr>
            </w:pPr>
            <w:r w:rsidRPr="006C2CA5">
              <w:rPr>
                <w:rFonts w:eastAsia="Times New Roman" w:cs="Arial"/>
                <w:lang w:eastAsia="en-GB"/>
              </w:rPr>
              <w:t>0.000</w:t>
            </w:r>
          </w:p>
        </w:tc>
        <w:tc>
          <w:tcPr>
            <w:tcW w:w="1276" w:type="dxa"/>
            <w:tcBorders>
              <w:top w:val="nil"/>
              <w:left w:val="nil"/>
              <w:bottom w:val="single" w:sz="8" w:space="0" w:color="auto"/>
              <w:right w:val="single" w:sz="8" w:space="0" w:color="auto"/>
            </w:tcBorders>
            <w:shd w:val="clear" w:color="auto" w:fill="auto"/>
            <w:vAlign w:val="center"/>
            <w:hideMark/>
          </w:tcPr>
          <w:p w14:paraId="65B7395B" w14:textId="77777777" w:rsidR="00AB4589" w:rsidRPr="006C2CA5" w:rsidRDefault="00AB4589" w:rsidP="00AB4589">
            <w:pPr>
              <w:autoSpaceDE/>
              <w:autoSpaceDN/>
              <w:adjustRightInd/>
              <w:spacing w:after="0"/>
              <w:jc w:val="center"/>
              <w:rPr>
                <w:rFonts w:eastAsia="Times New Roman" w:cs="Arial"/>
                <w:lang w:eastAsia="en-GB"/>
              </w:rPr>
            </w:pPr>
            <w:r w:rsidRPr="006C2CA5">
              <w:rPr>
                <w:rFonts w:eastAsia="Times New Roman" w:cs="Arial"/>
                <w:lang w:eastAsia="en-GB"/>
              </w:rPr>
              <w:t>0.000</w:t>
            </w:r>
          </w:p>
        </w:tc>
        <w:tc>
          <w:tcPr>
            <w:tcW w:w="1134" w:type="dxa"/>
            <w:tcBorders>
              <w:top w:val="nil"/>
              <w:left w:val="nil"/>
              <w:bottom w:val="single" w:sz="8" w:space="0" w:color="auto"/>
              <w:right w:val="single" w:sz="8" w:space="0" w:color="auto"/>
            </w:tcBorders>
            <w:shd w:val="clear" w:color="auto" w:fill="auto"/>
            <w:vAlign w:val="center"/>
            <w:hideMark/>
          </w:tcPr>
          <w:p w14:paraId="41205770" w14:textId="77777777" w:rsidR="00AB4589" w:rsidRPr="006C2CA5" w:rsidRDefault="00AB4589" w:rsidP="00AB4589">
            <w:pPr>
              <w:autoSpaceDE/>
              <w:autoSpaceDN/>
              <w:adjustRightInd/>
              <w:spacing w:after="0"/>
              <w:jc w:val="center"/>
              <w:rPr>
                <w:rFonts w:eastAsia="Times New Roman" w:cs="Arial"/>
                <w:lang w:eastAsia="en-GB"/>
              </w:rPr>
            </w:pPr>
            <w:r w:rsidRPr="006C2CA5">
              <w:rPr>
                <w:rFonts w:eastAsia="Times New Roman" w:cs="Arial"/>
                <w:lang w:eastAsia="en-GB"/>
              </w:rPr>
              <w:t>0.000</w:t>
            </w:r>
          </w:p>
        </w:tc>
      </w:tr>
      <w:tr w:rsidR="0015230B" w14:paraId="4FAA899E" w14:textId="77777777" w:rsidTr="00AB4589">
        <w:trPr>
          <w:trHeight w:val="374"/>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4559C3AF" w14:textId="77777777" w:rsidR="00AB4589" w:rsidRPr="006C2CA5" w:rsidRDefault="00AB4589" w:rsidP="00AB4589">
            <w:pPr>
              <w:autoSpaceDE/>
              <w:autoSpaceDN/>
              <w:adjustRightInd/>
              <w:spacing w:after="0"/>
              <w:jc w:val="left"/>
              <w:rPr>
                <w:rFonts w:eastAsia="Times New Roman" w:cs="Arial"/>
                <w:b/>
                <w:bCs/>
                <w:lang w:eastAsia="en-GB"/>
              </w:rPr>
            </w:pPr>
            <w:r w:rsidRPr="006C2CA5">
              <w:rPr>
                <w:rFonts w:eastAsia="Times New Roman" w:cs="Arial"/>
                <w:b/>
                <w:bCs/>
                <w:lang w:eastAsia="en-GB"/>
              </w:rPr>
              <w:t>2021/22 (£m)</w:t>
            </w:r>
          </w:p>
        </w:tc>
        <w:tc>
          <w:tcPr>
            <w:tcW w:w="1418" w:type="dxa"/>
            <w:tcBorders>
              <w:top w:val="nil"/>
              <w:left w:val="nil"/>
              <w:bottom w:val="single" w:sz="8" w:space="0" w:color="auto"/>
              <w:right w:val="single" w:sz="8" w:space="0" w:color="auto"/>
            </w:tcBorders>
            <w:shd w:val="clear" w:color="auto" w:fill="auto"/>
            <w:vAlign w:val="center"/>
            <w:hideMark/>
          </w:tcPr>
          <w:p w14:paraId="1FB4DAAE" w14:textId="77777777" w:rsidR="00AB4589" w:rsidRPr="006C2CA5" w:rsidRDefault="00AB4589" w:rsidP="00AB4589">
            <w:pPr>
              <w:autoSpaceDE/>
              <w:autoSpaceDN/>
              <w:adjustRightInd/>
              <w:spacing w:after="0"/>
              <w:jc w:val="center"/>
              <w:rPr>
                <w:rFonts w:eastAsia="Times New Roman" w:cs="Arial"/>
                <w:lang w:eastAsia="en-GB"/>
              </w:rPr>
            </w:pPr>
          </w:p>
        </w:tc>
        <w:tc>
          <w:tcPr>
            <w:tcW w:w="1417" w:type="dxa"/>
            <w:tcBorders>
              <w:top w:val="nil"/>
              <w:left w:val="nil"/>
              <w:bottom w:val="single" w:sz="8" w:space="0" w:color="auto"/>
              <w:right w:val="single" w:sz="8" w:space="0" w:color="auto"/>
            </w:tcBorders>
            <w:shd w:val="clear" w:color="auto" w:fill="auto"/>
            <w:vAlign w:val="center"/>
            <w:hideMark/>
          </w:tcPr>
          <w:p w14:paraId="78361156" w14:textId="77777777" w:rsidR="00AB4589" w:rsidRPr="006C2CA5" w:rsidRDefault="00AB4589" w:rsidP="00AB4589">
            <w:pPr>
              <w:autoSpaceDE/>
              <w:autoSpaceDN/>
              <w:adjustRightInd/>
              <w:spacing w:after="0"/>
              <w:jc w:val="center"/>
              <w:rPr>
                <w:rFonts w:eastAsia="Times New Roman" w:cs="Arial"/>
                <w:lang w:eastAsia="en-GB"/>
              </w:rPr>
            </w:pPr>
            <w:r w:rsidRPr="006C2CA5">
              <w:rPr>
                <w:rFonts w:eastAsia="Times New Roman" w:cs="Arial"/>
                <w:lang w:eastAsia="en-GB"/>
              </w:rPr>
              <w:t>-5.188</w:t>
            </w:r>
          </w:p>
        </w:tc>
        <w:tc>
          <w:tcPr>
            <w:tcW w:w="1276" w:type="dxa"/>
            <w:tcBorders>
              <w:top w:val="nil"/>
              <w:left w:val="nil"/>
              <w:bottom w:val="single" w:sz="8" w:space="0" w:color="auto"/>
              <w:right w:val="single" w:sz="8" w:space="0" w:color="auto"/>
            </w:tcBorders>
            <w:shd w:val="clear" w:color="auto" w:fill="auto"/>
            <w:vAlign w:val="center"/>
            <w:hideMark/>
          </w:tcPr>
          <w:p w14:paraId="4D43FF10" w14:textId="77777777" w:rsidR="00AB4589" w:rsidRPr="006C2CA5" w:rsidRDefault="00AB4589" w:rsidP="00AB4589">
            <w:pPr>
              <w:autoSpaceDE/>
              <w:autoSpaceDN/>
              <w:adjustRightInd/>
              <w:spacing w:after="0"/>
              <w:jc w:val="center"/>
              <w:rPr>
                <w:rFonts w:eastAsia="Times New Roman" w:cs="Arial"/>
                <w:lang w:eastAsia="en-GB"/>
              </w:rPr>
            </w:pPr>
            <w:r w:rsidRPr="006C2CA5">
              <w:rPr>
                <w:rFonts w:eastAsia="Times New Roman" w:cs="Arial"/>
                <w:lang w:eastAsia="en-GB"/>
              </w:rPr>
              <w:t>-5.188</w:t>
            </w:r>
          </w:p>
        </w:tc>
        <w:tc>
          <w:tcPr>
            <w:tcW w:w="1134" w:type="dxa"/>
            <w:tcBorders>
              <w:top w:val="nil"/>
              <w:left w:val="nil"/>
              <w:bottom w:val="single" w:sz="8" w:space="0" w:color="auto"/>
              <w:right w:val="single" w:sz="8" w:space="0" w:color="auto"/>
            </w:tcBorders>
            <w:shd w:val="clear" w:color="auto" w:fill="auto"/>
            <w:vAlign w:val="center"/>
            <w:hideMark/>
          </w:tcPr>
          <w:p w14:paraId="449CD52A" w14:textId="77777777" w:rsidR="00AB4589" w:rsidRPr="006C2CA5" w:rsidRDefault="00AB4589" w:rsidP="00AB4589">
            <w:pPr>
              <w:autoSpaceDE/>
              <w:autoSpaceDN/>
              <w:adjustRightInd/>
              <w:spacing w:after="0"/>
              <w:jc w:val="center"/>
              <w:rPr>
                <w:rFonts w:eastAsia="Times New Roman" w:cs="Arial"/>
                <w:lang w:eastAsia="en-GB"/>
              </w:rPr>
            </w:pPr>
            <w:r w:rsidRPr="006C2CA5">
              <w:rPr>
                <w:rFonts w:eastAsia="Times New Roman" w:cs="Arial"/>
                <w:lang w:eastAsia="en-GB"/>
              </w:rPr>
              <w:t>-5.188</w:t>
            </w:r>
          </w:p>
        </w:tc>
      </w:tr>
      <w:tr w:rsidR="0015230B" w14:paraId="304077B0" w14:textId="77777777" w:rsidTr="00AB4589">
        <w:trPr>
          <w:trHeight w:val="471"/>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5C6E58AD" w14:textId="77777777" w:rsidR="00AB4589" w:rsidRPr="006C2CA5" w:rsidRDefault="00AB4589" w:rsidP="00AB4589">
            <w:pPr>
              <w:autoSpaceDE/>
              <w:autoSpaceDN/>
              <w:adjustRightInd/>
              <w:spacing w:after="0"/>
              <w:jc w:val="left"/>
              <w:rPr>
                <w:rFonts w:eastAsia="Times New Roman" w:cs="Arial"/>
                <w:b/>
                <w:bCs/>
                <w:lang w:eastAsia="en-GB"/>
              </w:rPr>
            </w:pPr>
            <w:r w:rsidRPr="006C2CA5">
              <w:rPr>
                <w:rFonts w:eastAsia="Times New Roman" w:cs="Arial"/>
                <w:b/>
                <w:bCs/>
                <w:lang w:eastAsia="en-GB"/>
              </w:rPr>
              <w:t>2022/23 (£m)</w:t>
            </w:r>
          </w:p>
        </w:tc>
        <w:tc>
          <w:tcPr>
            <w:tcW w:w="1418" w:type="dxa"/>
            <w:tcBorders>
              <w:top w:val="nil"/>
              <w:left w:val="nil"/>
              <w:bottom w:val="single" w:sz="8" w:space="0" w:color="auto"/>
              <w:right w:val="single" w:sz="8" w:space="0" w:color="auto"/>
            </w:tcBorders>
            <w:shd w:val="clear" w:color="auto" w:fill="auto"/>
            <w:vAlign w:val="center"/>
            <w:hideMark/>
          </w:tcPr>
          <w:p w14:paraId="104CBC5E" w14:textId="77777777" w:rsidR="00AB4589" w:rsidRPr="006C2CA5" w:rsidRDefault="00AB4589" w:rsidP="00AB4589">
            <w:pPr>
              <w:autoSpaceDE/>
              <w:autoSpaceDN/>
              <w:adjustRightInd/>
              <w:spacing w:after="0"/>
              <w:jc w:val="center"/>
              <w:rPr>
                <w:rFonts w:eastAsia="Times New Roman" w:cs="Arial"/>
                <w:lang w:eastAsia="en-GB"/>
              </w:rPr>
            </w:pPr>
          </w:p>
        </w:tc>
        <w:tc>
          <w:tcPr>
            <w:tcW w:w="1417" w:type="dxa"/>
            <w:tcBorders>
              <w:top w:val="nil"/>
              <w:left w:val="nil"/>
              <w:bottom w:val="single" w:sz="8" w:space="0" w:color="auto"/>
              <w:right w:val="single" w:sz="8" w:space="0" w:color="auto"/>
            </w:tcBorders>
            <w:shd w:val="clear" w:color="auto" w:fill="auto"/>
            <w:vAlign w:val="center"/>
            <w:hideMark/>
          </w:tcPr>
          <w:p w14:paraId="6AE31B9E" w14:textId="77777777" w:rsidR="00AB4589" w:rsidRPr="006C2CA5" w:rsidRDefault="00AB4589" w:rsidP="00AB4589">
            <w:pPr>
              <w:autoSpaceDE/>
              <w:autoSpaceDN/>
              <w:adjustRightInd/>
              <w:spacing w:after="0"/>
              <w:jc w:val="center"/>
              <w:rPr>
                <w:rFonts w:eastAsia="Times New Roman" w:cs="Arial"/>
                <w:lang w:eastAsia="en-GB"/>
              </w:rPr>
            </w:pPr>
          </w:p>
        </w:tc>
        <w:tc>
          <w:tcPr>
            <w:tcW w:w="1276" w:type="dxa"/>
            <w:tcBorders>
              <w:top w:val="nil"/>
              <w:left w:val="nil"/>
              <w:bottom w:val="single" w:sz="8" w:space="0" w:color="auto"/>
              <w:right w:val="single" w:sz="8" w:space="0" w:color="auto"/>
            </w:tcBorders>
            <w:shd w:val="clear" w:color="auto" w:fill="auto"/>
            <w:vAlign w:val="center"/>
            <w:hideMark/>
          </w:tcPr>
          <w:p w14:paraId="25A76274" w14:textId="77777777" w:rsidR="00AB4589" w:rsidRPr="006C2CA5" w:rsidRDefault="00AB4589" w:rsidP="00AB4589">
            <w:pPr>
              <w:autoSpaceDE/>
              <w:autoSpaceDN/>
              <w:adjustRightInd/>
              <w:spacing w:after="0"/>
              <w:jc w:val="center"/>
              <w:rPr>
                <w:rFonts w:eastAsia="Times New Roman" w:cs="Arial"/>
                <w:lang w:eastAsia="en-GB"/>
              </w:rPr>
            </w:pPr>
            <w:r w:rsidRPr="006C2CA5">
              <w:rPr>
                <w:rFonts w:eastAsia="Times New Roman" w:cs="Arial"/>
                <w:lang w:eastAsia="en-GB"/>
              </w:rPr>
              <w:t>14.1</w:t>
            </w:r>
            <w:r>
              <w:rPr>
                <w:rFonts w:eastAsia="Times New Roman" w:cs="Arial"/>
                <w:lang w:eastAsia="en-GB"/>
              </w:rPr>
              <w:t>49</w:t>
            </w:r>
          </w:p>
        </w:tc>
        <w:tc>
          <w:tcPr>
            <w:tcW w:w="1134" w:type="dxa"/>
            <w:tcBorders>
              <w:top w:val="nil"/>
              <w:left w:val="nil"/>
              <w:bottom w:val="single" w:sz="8" w:space="0" w:color="auto"/>
              <w:right w:val="single" w:sz="8" w:space="0" w:color="auto"/>
            </w:tcBorders>
            <w:shd w:val="clear" w:color="auto" w:fill="auto"/>
            <w:vAlign w:val="center"/>
            <w:hideMark/>
          </w:tcPr>
          <w:p w14:paraId="2178BEE7" w14:textId="77777777" w:rsidR="00AB4589" w:rsidRPr="006C2CA5" w:rsidRDefault="00AB4589" w:rsidP="00AB4589">
            <w:pPr>
              <w:autoSpaceDE/>
              <w:autoSpaceDN/>
              <w:adjustRightInd/>
              <w:spacing w:after="0"/>
              <w:jc w:val="center"/>
              <w:rPr>
                <w:rFonts w:eastAsia="Times New Roman" w:cs="Arial"/>
                <w:lang w:eastAsia="en-GB"/>
              </w:rPr>
            </w:pPr>
            <w:r w:rsidRPr="006C2CA5">
              <w:rPr>
                <w:rFonts w:eastAsia="Times New Roman" w:cs="Arial"/>
                <w:lang w:eastAsia="en-GB"/>
              </w:rPr>
              <w:t>14.1</w:t>
            </w:r>
            <w:r>
              <w:rPr>
                <w:rFonts w:eastAsia="Times New Roman" w:cs="Arial"/>
                <w:lang w:eastAsia="en-GB"/>
              </w:rPr>
              <w:t>49</w:t>
            </w:r>
          </w:p>
        </w:tc>
      </w:tr>
      <w:tr w:rsidR="0015230B" w14:paraId="448623AE" w14:textId="77777777" w:rsidTr="00AB4589">
        <w:trPr>
          <w:trHeight w:val="439"/>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343C77A0" w14:textId="77777777" w:rsidR="00AB4589" w:rsidRPr="006C2CA5" w:rsidRDefault="00AB4589" w:rsidP="00AB4589">
            <w:pPr>
              <w:autoSpaceDE/>
              <w:autoSpaceDN/>
              <w:adjustRightInd/>
              <w:spacing w:after="0"/>
              <w:jc w:val="left"/>
              <w:rPr>
                <w:rFonts w:eastAsia="Times New Roman" w:cs="Arial"/>
                <w:b/>
                <w:bCs/>
                <w:lang w:eastAsia="en-GB"/>
              </w:rPr>
            </w:pPr>
            <w:r w:rsidRPr="006C2CA5">
              <w:rPr>
                <w:rFonts w:eastAsia="Times New Roman" w:cs="Arial"/>
                <w:b/>
                <w:bCs/>
                <w:lang w:eastAsia="en-GB"/>
              </w:rPr>
              <w:t>2023/24 (£m)</w:t>
            </w:r>
          </w:p>
        </w:tc>
        <w:tc>
          <w:tcPr>
            <w:tcW w:w="1418" w:type="dxa"/>
            <w:tcBorders>
              <w:top w:val="nil"/>
              <w:left w:val="nil"/>
              <w:bottom w:val="single" w:sz="8" w:space="0" w:color="auto"/>
              <w:right w:val="single" w:sz="8" w:space="0" w:color="auto"/>
            </w:tcBorders>
            <w:shd w:val="clear" w:color="auto" w:fill="auto"/>
            <w:vAlign w:val="center"/>
            <w:hideMark/>
          </w:tcPr>
          <w:p w14:paraId="0EC6030E" w14:textId="77777777" w:rsidR="00AB4589" w:rsidRPr="006C2CA5" w:rsidRDefault="00AB4589" w:rsidP="00AB4589">
            <w:pPr>
              <w:autoSpaceDE/>
              <w:autoSpaceDN/>
              <w:adjustRightInd/>
              <w:spacing w:after="0"/>
              <w:jc w:val="center"/>
              <w:rPr>
                <w:rFonts w:eastAsia="Times New Roman" w:cs="Arial"/>
                <w:lang w:eastAsia="en-GB"/>
              </w:rPr>
            </w:pPr>
          </w:p>
        </w:tc>
        <w:tc>
          <w:tcPr>
            <w:tcW w:w="1417" w:type="dxa"/>
            <w:tcBorders>
              <w:top w:val="nil"/>
              <w:left w:val="nil"/>
              <w:bottom w:val="single" w:sz="8" w:space="0" w:color="auto"/>
              <w:right w:val="single" w:sz="8" w:space="0" w:color="auto"/>
            </w:tcBorders>
            <w:shd w:val="clear" w:color="auto" w:fill="auto"/>
            <w:vAlign w:val="center"/>
            <w:hideMark/>
          </w:tcPr>
          <w:p w14:paraId="5D6FDFF7" w14:textId="77777777" w:rsidR="00AB4589" w:rsidRPr="006C2CA5" w:rsidRDefault="00AB4589" w:rsidP="00AB4589">
            <w:pPr>
              <w:autoSpaceDE/>
              <w:autoSpaceDN/>
              <w:adjustRightInd/>
              <w:spacing w:after="0"/>
              <w:jc w:val="center"/>
              <w:rPr>
                <w:rFonts w:eastAsia="Times New Roman" w:cs="Arial"/>
                <w:lang w:eastAsia="en-GB"/>
              </w:rPr>
            </w:pPr>
          </w:p>
        </w:tc>
        <w:tc>
          <w:tcPr>
            <w:tcW w:w="1276" w:type="dxa"/>
            <w:tcBorders>
              <w:top w:val="nil"/>
              <w:left w:val="nil"/>
              <w:bottom w:val="single" w:sz="8" w:space="0" w:color="auto"/>
              <w:right w:val="single" w:sz="8" w:space="0" w:color="auto"/>
            </w:tcBorders>
            <w:shd w:val="clear" w:color="auto" w:fill="auto"/>
            <w:vAlign w:val="center"/>
            <w:hideMark/>
          </w:tcPr>
          <w:p w14:paraId="27EFE332" w14:textId="77777777" w:rsidR="00AB4589" w:rsidRPr="006C2CA5" w:rsidRDefault="00AB4589" w:rsidP="00AB4589">
            <w:pPr>
              <w:autoSpaceDE/>
              <w:autoSpaceDN/>
              <w:adjustRightInd/>
              <w:spacing w:after="0"/>
              <w:jc w:val="center"/>
              <w:rPr>
                <w:rFonts w:eastAsia="Times New Roman" w:cs="Arial"/>
                <w:lang w:eastAsia="en-GB"/>
              </w:rPr>
            </w:pPr>
          </w:p>
        </w:tc>
        <w:tc>
          <w:tcPr>
            <w:tcW w:w="1134" w:type="dxa"/>
            <w:tcBorders>
              <w:top w:val="nil"/>
              <w:left w:val="nil"/>
              <w:bottom w:val="single" w:sz="8" w:space="0" w:color="auto"/>
              <w:right w:val="single" w:sz="8" w:space="0" w:color="auto"/>
            </w:tcBorders>
            <w:shd w:val="clear" w:color="auto" w:fill="auto"/>
            <w:vAlign w:val="center"/>
            <w:hideMark/>
          </w:tcPr>
          <w:p w14:paraId="38EBAE2F" w14:textId="77777777" w:rsidR="00AB4589" w:rsidRPr="006C2CA5" w:rsidRDefault="00AB4589" w:rsidP="00AB4589">
            <w:pPr>
              <w:autoSpaceDE/>
              <w:autoSpaceDN/>
              <w:adjustRightInd/>
              <w:spacing w:after="0"/>
              <w:jc w:val="center"/>
              <w:rPr>
                <w:rFonts w:eastAsia="Times New Roman" w:cs="Arial"/>
                <w:lang w:eastAsia="en-GB"/>
              </w:rPr>
            </w:pPr>
            <w:r w:rsidRPr="006C2CA5">
              <w:rPr>
                <w:rFonts w:eastAsia="Times New Roman" w:cs="Arial"/>
                <w:lang w:eastAsia="en-GB"/>
              </w:rPr>
              <w:t>19.477</w:t>
            </w:r>
          </w:p>
        </w:tc>
      </w:tr>
      <w:tr w:rsidR="0015230B" w14:paraId="06D79B2C" w14:textId="77777777" w:rsidTr="00AB4589">
        <w:trPr>
          <w:trHeight w:val="358"/>
        </w:trPr>
        <w:tc>
          <w:tcPr>
            <w:tcW w:w="2825" w:type="dxa"/>
            <w:tcBorders>
              <w:top w:val="nil"/>
              <w:left w:val="single" w:sz="8" w:space="0" w:color="auto"/>
              <w:bottom w:val="single" w:sz="8" w:space="0" w:color="auto"/>
              <w:right w:val="single" w:sz="8" w:space="0" w:color="auto"/>
            </w:tcBorders>
            <w:shd w:val="clear" w:color="000000" w:fill="BFBFBF"/>
            <w:vAlign w:val="center"/>
            <w:hideMark/>
          </w:tcPr>
          <w:p w14:paraId="6913A58C" w14:textId="77777777" w:rsidR="00AB4589" w:rsidRPr="006C2CA5" w:rsidRDefault="00AB4589" w:rsidP="00AB4589">
            <w:pPr>
              <w:autoSpaceDE/>
              <w:autoSpaceDN/>
              <w:adjustRightInd/>
              <w:spacing w:after="0"/>
              <w:jc w:val="left"/>
              <w:rPr>
                <w:rFonts w:eastAsia="Times New Roman" w:cs="Arial"/>
                <w:b/>
                <w:bCs/>
                <w:lang w:eastAsia="en-GB"/>
              </w:rPr>
            </w:pPr>
            <w:r w:rsidRPr="006C2CA5">
              <w:rPr>
                <w:rFonts w:eastAsia="Times New Roman" w:cs="Arial"/>
                <w:b/>
                <w:bCs/>
                <w:lang w:eastAsia="en-GB"/>
              </w:rPr>
              <w:t xml:space="preserve">Total </w:t>
            </w:r>
          </w:p>
        </w:tc>
        <w:tc>
          <w:tcPr>
            <w:tcW w:w="1418" w:type="dxa"/>
            <w:tcBorders>
              <w:top w:val="nil"/>
              <w:left w:val="nil"/>
              <w:bottom w:val="single" w:sz="8" w:space="0" w:color="auto"/>
              <w:right w:val="single" w:sz="8" w:space="0" w:color="auto"/>
            </w:tcBorders>
            <w:shd w:val="clear" w:color="000000" w:fill="BFBFBF"/>
            <w:vAlign w:val="center"/>
            <w:hideMark/>
          </w:tcPr>
          <w:p w14:paraId="31C2D5CF" w14:textId="77777777" w:rsidR="00AB4589" w:rsidRPr="006C2CA5" w:rsidRDefault="00AB4589" w:rsidP="00AB4589">
            <w:pPr>
              <w:autoSpaceDE/>
              <w:autoSpaceDN/>
              <w:adjustRightInd/>
              <w:spacing w:after="0"/>
              <w:jc w:val="center"/>
              <w:rPr>
                <w:rFonts w:eastAsia="Times New Roman" w:cs="Arial"/>
                <w:b/>
                <w:bCs/>
                <w:lang w:eastAsia="en-GB"/>
              </w:rPr>
            </w:pPr>
            <w:r w:rsidRPr="006C2CA5">
              <w:rPr>
                <w:rFonts w:eastAsia="Times New Roman" w:cs="Arial"/>
                <w:b/>
                <w:bCs/>
                <w:lang w:eastAsia="en-GB"/>
              </w:rPr>
              <w:t>0.000</w:t>
            </w:r>
          </w:p>
        </w:tc>
        <w:tc>
          <w:tcPr>
            <w:tcW w:w="1417" w:type="dxa"/>
            <w:tcBorders>
              <w:top w:val="nil"/>
              <w:left w:val="nil"/>
              <w:bottom w:val="single" w:sz="8" w:space="0" w:color="auto"/>
              <w:right w:val="single" w:sz="8" w:space="0" w:color="auto"/>
            </w:tcBorders>
            <w:shd w:val="clear" w:color="000000" w:fill="BFBFBF"/>
            <w:vAlign w:val="center"/>
            <w:hideMark/>
          </w:tcPr>
          <w:p w14:paraId="1A9139E6" w14:textId="77777777" w:rsidR="00AB4589" w:rsidRPr="006C2CA5" w:rsidRDefault="00AB4589" w:rsidP="00AB4589">
            <w:pPr>
              <w:autoSpaceDE/>
              <w:autoSpaceDN/>
              <w:adjustRightInd/>
              <w:spacing w:after="0"/>
              <w:jc w:val="center"/>
              <w:rPr>
                <w:rFonts w:eastAsia="Times New Roman" w:cs="Arial"/>
                <w:b/>
                <w:bCs/>
                <w:lang w:eastAsia="en-GB"/>
              </w:rPr>
            </w:pPr>
            <w:r w:rsidRPr="006C2CA5">
              <w:rPr>
                <w:rFonts w:eastAsia="Times New Roman" w:cs="Arial"/>
                <w:b/>
                <w:bCs/>
                <w:lang w:eastAsia="en-GB"/>
              </w:rPr>
              <w:t>-5.188</w:t>
            </w:r>
          </w:p>
        </w:tc>
        <w:tc>
          <w:tcPr>
            <w:tcW w:w="1276" w:type="dxa"/>
            <w:tcBorders>
              <w:top w:val="nil"/>
              <w:left w:val="nil"/>
              <w:bottom w:val="single" w:sz="8" w:space="0" w:color="auto"/>
              <w:right w:val="single" w:sz="8" w:space="0" w:color="auto"/>
            </w:tcBorders>
            <w:shd w:val="clear" w:color="000000" w:fill="BFBFBF"/>
            <w:vAlign w:val="center"/>
            <w:hideMark/>
          </w:tcPr>
          <w:p w14:paraId="5066DBE9" w14:textId="77777777" w:rsidR="00AB4589" w:rsidRPr="006C2CA5" w:rsidRDefault="00AB4589" w:rsidP="00AB4589">
            <w:pPr>
              <w:autoSpaceDE/>
              <w:autoSpaceDN/>
              <w:adjustRightInd/>
              <w:spacing w:after="0"/>
              <w:jc w:val="center"/>
              <w:rPr>
                <w:rFonts w:eastAsia="Times New Roman" w:cs="Arial"/>
                <w:b/>
                <w:bCs/>
                <w:lang w:eastAsia="en-GB"/>
              </w:rPr>
            </w:pPr>
            <w:r w:rsidRPr="006C2CA5">
              <w:rPr>
                <w:rFonts w:eastAsia="Times New Roman" w:cs="Arial"/>
                <w:b/>
                <w:bCs/>
                <w:lang w:eastAsia="en-GB"/>
              </w:rPr>
              <w:t>8.96</w:t>
            </w:r>
            <w:r>
              <w:rPr>
                <w:rFonts w:eastAsia="Times New Roman" w:cs="Arial"/>
                <w:b/>
                <w:bCs/>
                <w:lang w:eastAsia="en-GB"/>
              </w:rPr>
              <w:t>1</w:t>
            </w:r>
          </w:p>
        </w:tc>
        <w:tc>
          <w:tcPr>
            <w:tcW w:w="1134" w:type="dxa"/>
            <w:tcBorders>
              <w:top w:val="nil"/>
              <w:left w:val="nil"/>
              <w:bottom w:val="single" w:sz="8" w:space="0" w:color="auto"/>
              <w:right w:val="single" w:sz="8" w:space="0" w:color="auto"/>
            </w:tcBorders>
            <w:shd w:val="clear" w:color="000000" w:fill="BFBFBF"/>
            <w:vAlign w:val="center"/>
            <w:hideMark/>
          </w:tcPr>
          <w:p w14:paraId="150F4BB2" w14:textId="77777777" w:rsidR="00AB4589" w:rsidRPr="006C2CA5" w:rsidRDefault="00AB4589" w:rsidP="00AB4589">
            <w:pPr>
              <w:autoSpaceDE/>
              <w:autoSpaceDN/>
              <w:adjustRightInd/>
              <w:spacing w:after="0"/>
              <w:jc w:val="center"/>
              <w:rPr>
                <w:rFonts w:eastAsia="Times New Roman" w:cs="Arial"/>
                <w:b/>
                <w:bCs/>
                <w:lang w:eastAsia="en-GB"/>
              </w:rPr>
            </w:pPr>
            <w:r w:rsidRPr="006C2CA5">
              <w:rPr>
                <w:rFonts w:eastAsia="Times New Roman" w:cs="Arial"/>
                <w:b/>
                <w:bCs/>
                <w:lang w:eastAsia="en-GB"/>
              </w:rPr>
              <w:t>28.43</w:t>
            </w:r>
            <w:r>
              <w:rPr>
                <w:rFonts w:eastAsia="Times New Roman" w:cs="Arial"/>
                <w:b/>
                <w:bCs/>
                <w:lang w:eastAsia="en-GB"/>
              </w:rPr>
              <w:t>8</w:t>
            </w:r>
          </w:p>
        </w:tc>
      </w:tr>
      <w:tr w:rsidR="0015230B" w14:paraId="6C5046D5" w14:textId="77777777" w:rsidTr="00AB4589">
        <w:trPr>
          <w:trHeight w:val="358"/>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1868A09B" w14:textId="77777777" w:rsidR="00AB4589" w:rsidRPr="006C2CA5" w:rsidRDefault="00AB4589" w:rsidP="00AB4589">
            <w:pPr>
              <w:autoSpaceDE/>
              <w:autoSpaceDN/>
              <w:adjustRightInd/>
              <w:spacing w:after="0"/>
              <w:jc w:val="left"/>
              <w:rPr>
                <w:rFonts w:eastAsia="Times New Roman" w:cs="Arial"/>
                <w:b/>
                <w:bCs/>
                <w:lang w:eastAsia="en-GB"/>
              </w:rPr>
            </w:pPr>
            <w:r w:rsidRPr="006C2CA5">
              <w:rPr>
                <w:rFonts w:eastAsia="Times New Roman" w:cs="Arial"/>
                <w:b/>
                <w:bCs/>
                <w:lang w:eastAsia="en-GB"/>
              </w:rPr>
              <w:t> </w:t>
            </w:r>
          </w:p>
        </w:tc>
        <w:tc>
          <w:tcPr>
            <w:tcW w:w="1418" w:type="dxa"/>
            <w:tcBorders>
              <w:top w:val="nil"/>
              <w:left w:val="nil"/>
              <w:bottom w:val="single" w:sz="8" w:space="0" w:color="auto"/>
              <w:right w:val="single" w:sz="8" w:space="0" w:color="auto"/>
            </w:tcBorders>
            <w:shd w:val="clear" w:color="auto" w:fill="auto"/>
            <w:vAlign w:val="center"/>
            <w:hideMark/>
          </w:tcPr>
          <w:p w14:paraId="00E627F0" w14:textId="77777777" w:rsidR="00AB4589" w:rsidRPr="006C2CA5" w:rsidRDefault="00AB4589" w:rsidP="00AB4589">
            <w:pPr>
              <w:autoSpaceDE/>
              <w:autoSpaceDN/>
              <w:adjustRightInd/>
              <w:spacing w:after="0"/>
              <w:jc w:val="center"/>
              <w:rPr>
                <w:rFonts w:eastAsia="Times New Roman" w:cs="Arial"/>
                <w:lang w:eastAsia="en-GB"/>
              </w:rPr>
            </w:pPr>
          </w:p>
        </w:tc>
        <w:tc>
          <w:tcPr>
            <w:tcW w:w="1417" w:type="dxa"/>
            <w:tcBorders>
              <w:top w:val="nil"/>
              <w:left w:val="nil"/>
              <w:bottom w:val="single" w:sz="8" w:space="0" w:color="auto"/>
              <w:right w:val="single" w:sz="8" w:space="0" w:color="auto"/>
            </w:tcBorders>
            <w:shd w:val="clear" w:color="auto" w:fill="auto"/>
            <w:vAlign w:val="center"/>
            <w:hideMark/>
          </w:tcPr>
          <w:p w14:paraId="1896DC8F" w14:textId="77777777" w:rsidR="00AB4589" w:rsidRPr="006C2CA5" w:rsidRDefault="00AB4589" w:rsidP="00AB4589">
            <w:pPr>
              <w:autoSpaceDE/>
              <w:autoSpaceDN/>
              <w:adjustRightInd/>
              <w:spacing w:after="0"/>
              <w:jc w:val="center"/>
              <w:rPr>
                <w:rFonts w:eastAsia="Times New Roman" w:cs="Arial"/>
                <w:lang w:eastAsia="en-GB"/>
              </w:rPr>
            </w:pPr>
          </w:p>
        </w:tc>
        <w:tc>
          <w:tcPr>
            <w:tcW w:w="1276" w:type="dxa"/>
            <w:tcBorders>
              <w:top w:val="nil"/>
              <w:left w:val="nil"/>
              <w:bottom w:val="single" w:sz="8" w:space="0" w:color="auto"/>
              <w:right w:val="single" w:sz="8" w:space="0" w:color="auto"/>
            </w:tcBorders>
            <w:shd w:val="clear" w:color="auto" w:fill="auto"/>
            <w:vAlign w:val="center"/>
            <w:hideMark/>
          </w:tcPr>
          <w:p w14:paraId="6E982088" w14:textId="77777777" w:rsidR="00AB4589" w:rsidRPr="006C2CA5" w:rsidRDefault="00AB4589" w:rsidP="00AB4589">
            <w:pPr>
              <w:autoSpaceDE/>
              <w:autoSpaceDN/>
              <w:adjustRightInd/>
              <w:spacing w:after="0"/>
              <w:jc w:val="center"/>
              <w:rPr>
                <w:rFonts w:eastAsia="Times New Roman" w:cs="Arial"/>
                <w:lang w:eastAsia="en-GB"/>
              </w:rPr>
            </w:pPr>
          </w:p>
        </w:tc>
        <w:tc>
          <w:tcPr>
            <w:tcW w:w="1134" w:type="dxa"/>
            <w:tcBorders>
              <w:top w:val="nil"/>
              <w:left w:val="nil"/>
              <w:bottom w:val="single" w:sz="8" w:space="0" w:color="auto"/>
              <w:right w:val="single" w:sz="8" w:space="0" w:color="auto"/>
            </w:tcBorders>
            <w:shd w:val="clear" w:color="auto" w:fill="auto"/>
            <w:vAlign w:val="center"/>
            <w:hideMark/>
          </w:tcPr>
          <w:p w14:paraId="5D24EACB" w14:textId="77777777" w:rsidR="00AB4589" w:rsidRPr="006C2CA5" w:rsidRDefault="00AB4589" w:rsidP="00AB4589">
            <w:pPr>
              <w:autoSpaceDE/>
              <w:autoSpaceDN/>
              <w:adjustRightInd/>
              <w:spacing w:after="0"/>
              <w:jc w:val="center"/>
              <w:rPr>
                <w:rFonts w:eastAsia="Times New Roman" w:cs="Arial"/>
                <w:lang w:eastAsia="en-GB"/>
              </w:rPr>
            </w:pPr>
          </w:p>
        </w:tc>
      </w:tr>
      <w:tr w:rsidR="0015230B" w14:paraId="63F26459" w14:textId="77777777" w:rsidTr="00AB4589">
        <w:trPr>
          <w:trHeight w:val="406"/>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5EBA5875" w14:textId="77777777" w:rsidR="00AB4589" w:rsidRPr="006C2CA5" w:rsidRDefault="00AB4589" w:rsidP="00AB4589">
            <w:pPr>
              <w:autoSpaceDE/>
              <w:autoSpaceDN/>
              <w:adjustRightInd/>
              <w:spacing w:after="0"/>
              <w:jc w:val="left"/>
              <w:rPr>
                <w:rFonts w:eastAsia="Times New Roman" w:cs="Arial"/>
                <w:b/>
                <w:bCs/>
                <w:lang w:eastAsia="en-GB"/>
              </w:rPr>
            </w:pPr>
            <w:r w:rsidRPr="006C2CA5">
              <w:rPr>
                <w:rFonts w:eastAsia="Times New Roman" w:cs="Arial"/>
                <w:b/>
                <w:bCs/>
                <w:lang w:eastAsia="en-GB"/>
              </w:rPr>
              <w:t>Previous position (£m)</w:t>
            </w:r>
          </w:p>
        </w:tc>
        <w:tc>
          <w:tcPr>
            <w:tcW w:w="1418" w:type="dxa"/>
            <w:tcBorders>
              <w:top w:val="nil"/>
              <w:left w:val="nil"/>
              <w:bottom w:val="single" w:sz="8" w:space="0" w:color="auto"/>
              <w:right w:val="single" w:sz="8" w:space="0" w:color="auto"/>
            </w:tcBorders>
            <w:shd w:val="clear" w:color="auto" w:fill="auto"/>
            <w:vAlign w:val="center"/>
            <w:hideMark/>
          </w:tcPr>
          <w:p w14:paraId="2DE05CBE" w14:textId="77777777" w:rsidR="00AB4589" w:rsidRPr="006C2CA5" w:rsidRDefault="00AB4589" w:rsidP="00AB4589">
            <w:pPr>
              <w:autoSpaceDE/>
              <w:autoSpaceDN/>
              <w:adjustRightInd/>
              <w:spacing w:after="0"/>
              <w:jc w:val="center"/>
              <w:rPr>
                <w:rFonts w:eastAsia="Times New Roman" w:cs="Arial"/>
                <w:lang w:eastAsia="en-GB"/>
              </w:rPr>
            </w:pPr>
            <w:r w:rsidRPr="006C2CA5">
              <w:rPr>
                <w:rFonts w:eastAsia="Times New Roman" w:cs="Arial"/>
                <w:lang w:eastAsia="en-GB"/>
              </w:rPr>
              <w:t>5.895</w:t>
            </w:r>
          </w:p>
        </w:tc>
        <w:tc>
          <w:tcPr>
            <w:tcW w:w="1417" w:type="dxa"/>
            <w:tcBorders>
              <w:top w:val="nil"/>
              <w:left w:val="nil"/>
              <w:bottom w:val="single" w:sz="8" w:space="0" w:color="auto"/>
              <w:right w:val="single" w:sz="8" w:space="0" w:color="auto"/>
            </w:tcBorders>
            <w:shd w:val="clear" w:color="auto" w:fill="auto"/>
            <w:vAlign w:val="center"/>
            <w:hideMark/>
          </w:tcPr>
          <w:p w14:paraId="1352AF81" w14:textId="77777777" w:rsidR="00AB4589" w:rsidRPr="006C2CA5" w:rsidRDefault="00AB4589" w:rsidP="00AB4589">
            <w:pPr>
              <w:autoSpaceDE/>
              <w:autoSpaceDN/>
              <w:adjustRightInd/>
              <w:spacing w:after="0"/>
              <w:jc w:val="center"/>
              <w:rPr>
                <w:rFonts w:eastAsia="Times New Roman" w:cs="Arial"/>
                <w:lang w:eastAsia="en-GB"/>
              </w:rPr>
            </w:pPr>
            <w:r w:rsidRPr="006C2CA5">
              <w:rPr>
                <w:rFonts w:eastAsia="Times New Roman" w:cs="Arial"/>
                <w:lang w:eastAsia="en-GB"/>
              </w:rPr>
              <w:t>44.928</w:t>
            </w:r>
          </w:p>
        </w:tc>
        <w:tc>
          <w:tcPr>
            <w:tcW w:w="1276" w:type="dxa"/>
            <w:tcBorders>
              <w:top w:val="nil"/>
              <w:left w:val="nil"/>
              <w:bottom w:val="single" w:sz="8" w:space="0" w:color="auto"/>
              <w:right w:val="single" w:sz="8" w:space="0" w:color="auto"/>
            </w:tcBorders>
            <w:shd w:val="clear" w:color="auto" w:fill="auto"/>
            <w:vAlign w:val="center"/>
            <w:hideMark/>
          </w:tcPr>
          <w:p w14:paraId="6623B077" w14:textId="77777777" w:rsidR="00AB4589" w:rsidRPr="006C2CA5" w:rsidRDefault="00AB4589" w:rsidP="00AB4589">
            <w:pPr>
              <w:autoSpaceDE/>
              <w:autoSpaceDN/>
              <w:adjustRightInd/>
              <w:spacing w:after="0"/>
              <w:jc w:val="center"/>
              <w:rPr>
                <w:rFonts w:eastAsia="Times New Roman" w:cs="Arial"/>
                <w:lang w:eastAsia="en-GB"/>
              </w:rPr>
            </w:pPr>
            <w:r w:rsidRPr="006C2CA5">
              <w:rPr>
                <w:rFonts w:eastAsia="Times New Roman" w:cs="Arial"/>
                <w:lang w:eastAsia="en-GB"/>
              </w:rPr>
              <w:t>64.755</w:t>
            </w:r>
          </w:p>
        </w:tc>
        <w:tc>
          <w:tcPr>
            <w:tcW w:w="1134" w:type="dxa"/>
            <w:tcBorders>
              <w:top w:val="nil"/>
              <w:left w:val="nil"/>
              <w:bottom w:val="single" w:sz="8" w:space="0" w:color="auto"/>
              <w:right w:val="single" w:sz="8" w:space="0" w:color="auto"/>
            </w:tcBorders>
            <w:shd w:val="clear" w:color="auto" w:fill="auto"/>
            <w:vAlign w:val="center"/>
            <w:hideMark/>
          </w:tcPr>
          <w:p w14:paraId="0235C5D0" w14:textId="77777777" w:rsidR="00AB4589" w:rsidRPr="006C2CA5" w:rsidRDefault="00AB4589" w:rsidP="00AB4589">
            <w:pPr>
              <w:autoSpaceDE/>
              <w:autoSpaceDN/>
              <w:adjustRightInd/>
              <w:spacing w:after="0"/>
              <w:jc w:val="center"/>
              <w:rPr>
                <w:rFonts w:eastAsia="Times New Roman" w:cs="Arial"/>
                <w:lang w:eastAsia="en-GB"/>
              </w:rPr>
            </w:pPr>
            <w:r w:rsidRPr="006C2CA5">
              <w:rPr>
                <w:rFonts w:eastAsia="Times New Roman" w:cs="Arial"/>
                <w:lang w:eastAsia="en-GB"/>
              </w:rPr>
              <w:t>0.000</w:t>
            </w:r>
          </w:p>
        </w:tc>
      </w:tr>
      <w:tr w:rsidR="0015230B" w14:paraId="08F75E6A" w14:textId="77777777" w:rsidTr="00AB4589">
        <w:trPr>
          <w:trHeight w:val="390"/>
        </w:trPr>
        <w:tc>
          <w:tcPr>
            <w:tcW w:w="2825" w:type="dxa"/>
            <w:tcBorders>
              <w:top w:val="nil"/>
              <w:left w:val="single" w:sz="8" w:space="0" w:color="auto"/>
              <w:bottom w:val="single" w:sz="8" w:space="0" w:color="auto"/>
              <w:right w:val="single" w:sz="8" w:space="0" w:color="auto"/>
            </w:tcBorders>
            <w:shd w:val="clear" w:color="000000" w:fill="BFBFBF"/>
            <w:vAlign w:val="center"/>
            <w:hideMark/>
          </w:tcPr>
          <w:p w14:paraId="6500957B" w14:textId="77777777" w:rsidR="00AB4589" w:rsidRPr="006C2CA5" w:rsidRDefault="00AB4589" w:rsidP="00AB4589">
            <w:pPr>
              <w:autoSpaceDE/>
              <w:autoSpaceDN/>
              <w:adjustRightInd/>
              <w:spacing w:after="0"/>
              <w:jc w:val="left"/>
              <w:rPr>
                <w:rFonts w:eastAsia="Times New Roman" w:cs="Arial"/>
                <w:b/>
                <w:bCs/>
                <w:lang w:eastAsia="en-GB"/>
              </w:rPr>
            </w:pPr>
            <w:r w:rsidRPr="006C2CA5">
              <w:rPr>
                <w:rFonts w:eastAsia="Times New Roman" w:cs="Arial"/>
                <w:b/>
                <w:bCs/>
                <w:lang w:eastAsia="en-GB"/>
              </w:rPr>
              <w:t>Variance (£m)</w:t>
            </w:r>
          </w:p>
        </w:tc>
        <w:tc>
          <w:tcPr>
            <w:tcW w:w="1418" w:type="dxa"/>
            <w:tcBorders>
              <w:top w:val="nil"/>
              <w:left w:val="nil"/>
              <w:bottom w:val="single" w:sz="8" w:space="0" w:color="auto"/>
              <w:right w:val="single" w:sz="8" w:space="0" w:color="auto"/>
            </w:tcBorders>
            <w:shd w:val="clear" w:color="000000" w:fill="BFBFBF"/>
            <w:vAlign w:val="center"/>
            <w:hideMark/>
          </w:tcPr>
          <w:p w14:paraId="627376C8" w14:textId="77777777" w:rsidR="00AB4589" w:rsidRPr="006C2CA5" w:rsidRDefault="00AB4589" w:rsidP="00AB4589">
            <w:pPr>
              <w:autoSpaceDE/>
              <w:autoSpaceDN/>
              <w:adjustRightInd/>
              <w:spacing w:after="0"/>
              <w:jc w:val="center"/>
              <w:rPr>
                <w:rFonts w:eastAsia="Times New Roman" w:cs="Arial"/>
                <w:b/>
                <w:bCs/>
                <w:lang w:eastAsia="en-GB"/>
              </w:rPr>
            </w:pPr>
            <w:r w:rsidRPr="006C2CA5">
              <w:rPr>
                <w:rFonts w:eastAsia="Times New Roman" w:cs="Arial"/>
                <w:b/>
                <w:bCs/>
                <w:lang w:eastAsia="en-GB"/>
              </w:rPr>
              <w:t>-5.895</w:t>
            </w:r>
          </w:p>
        </w:tc>
        <w:tc>
          <w:tcPr>
            <w:tcW w:w="1417" w:type="dxa"/>
            <w:tcBorders>
              <w:top w:val="nil"/>
              <w:left w:val="nil"/>
              <w:bottom w:val="single" w:sz="8" w:space="0" w:color="auto"/>
              <w:right w:val="single" w:sz="8" w:space="0" w:color="auto"/>
            </w:tcBorders>
            <w:shd w:val="clear" w:color="000000" w:fill="BFBFBF"/>
            <w:vAlign w:val="center"/>
            <w:hideMark/>
          </w:tcPr>
          <w:p w14:paraId="02A0D477" w14:textId="77777777" w:rsidR="00AB4589" w:rsidRPr="006C2CA5" w:rsidRDefault="00AB4589" w:rsidP="00AB4589">
            <w:pPr>
              <w:autoSpaceDE/>
              <w:autoSpaceDN/>
              <w:adjustRightInd/>
              <w:spacing w:after="0"/>
              <w:jc w:val="center"/>
              <w:rPr>
                <w:rFonts w:eastAsia="Times New Roman" w:cs="Arial"/>
                <w:b/>
                <w:bCs/>
                <w:lang w:eastAsia="en-GB"/>
              </w:rPr>
            </w:pPr>
            <w:r w:rsidRPr="006C2CA5">
              <w:rPr>
                <w:rFonts w:eastAsia="Times New Roman" w:cs="Arial"/>
                <w:b/>
                <w:bCs/>
                <w:lang w:eastAsia="en-GB"/>
              </w:rPr>
              <w:t>-50.11</w:t>
            </w:r>
            <w:r>
              <w:rPr>
                <w:rFonts w:eastAsia="Times New Roman" w:cs="Arial"/>
                <w:b/>
                <w:bCs/>
                <w:lang w:eastAsia="en-GB"/>
              </w:rPr>
              <w:t>6</w:t>
            </w:r>
          </w:p>
        </w:tc>
        <w:tc>
          <w:tcPr>
            <w:tcW w:w="1276" w:type="dxa"/>
            <w:tcBorders>
              <w:top w:val="nil"/>
              <w:left w:val="nil"/>
              <w:bottom w:val="single" w:sz="8" w:space="0" w:color="auto"/>
              <w:right w:val="single" w:sz="8" w:space="0" w:color="auto"/>
            </w:tcBorders>
            <w:shd w:val="clear" w:color="000000" w:fill="BFBFBF"/>
            <w:vAlign w:val="center"/>
            <w:hideMark/>
          </w:tcPr>
          <w:p w14:paraId="6F038BBB" w14:textId="77777777" w:rsidR="00AB4589" w:rsidRPr="006C2CA5" w:rsidRDefault="00AB4589" w:rsidP="00AB4589">
            <w:pPr>
              <w:autoSpaceDE/>
              <w:autoSpaceDN/>
              <w:adjustRightInd/>
              <w:spacing w:after="0"/>
              <w:jc w:val="center"/>
              <w:rPr>
                <w:rFonts w:eastAsia="Times New Roman" w:cs="Arial"/>
                <w:b/>
                <w:bCs/>
                <w:lang w:eastAsia="en-GB"/>
              </w:rPr>
            </w:pPr>
            <w:r w:rsidRPr="006C2CA5">
              <w:rPr>
                <w:rFonts w:eastAsia="Times New Roman" w:cs="Arial"/>
                <w:b/>
                <w:bCs/>
                <w:lang w:eastAsia="en-GB"/>
              </w:rPr>
              <w:t>-55.793</w:t>
            </w:r>
          </w:p>
        </w:tc>
        <w:tc>
          <w:tcPr>
            <w:tcW w:w="1134" w:type="dxa"/>
            <w:tcBorders>
              <w:top w:val="nil"/>
              <w:left w:val="nil"/>
              <w:bottom w:val="single" w:sz="8" w:space="0" w:color="auto"/>
              <w:right w:val="single" w:sz="8" w:space="0" w:color="auto"/>
            </w:tcBorders>
            <w:shd w:val="clear" w:color="000000" w:fill="BFBFBF"/>
            <w:vAlign w:val="center"/>
            <w:hideMark/>
          </w:tcPr>
          <w:p w14:paraId="76146F1B" w14:textId="77777777" w:rsidR="00AB4589" w:rsidRPr="006C2CA5" w:rsidRDefault="00AB4589" w:rsidP="00AB4589">
            <w:pPr>
              <w:autoSpaceDE/>
              <w:autoSpaceDN/>
              <w:adjustRightInd/>
              <w:spacing w:after="0"/>
              <w:jc w:val="center"/>
              <w:rPr>
                <w:rFonts w:eastAsia="Times New Roman" w:cs="Arial"/>
                <w:b/>
                <w:bCs/>
                <w:lang w:eastAsia="en-GB"/>
              </w:rPr>
            </w:pPr>
            <w:r w:rsidRPr="006C2CA5">
              <w:rPr>
                <w:rFonts w:eastAsia="Times New Roman" w:cs="Arial"/>
                <w:b/>
                <w:bCs/>
                <w:lang w:eastAsia="en-GB"/>
              </w:rPr>
              <w:t>28.43</w:t>
            </w:r>
            <w:r>
              <w:rPr>
                <w:rFonts w:eastAsia="Times New Roman" w:cs="Arial"/>
                <w:b/>
                <w:bCs/>
                <w:lang w:eastAsia="en-GB"/>
              </w:rPr>
              <w:t>8</w:t>
            </w:r>
          </w:p>
        </w:tc>
      </w:tr>
    </w:tbl>
    <w:p w14:paraId="14EDC8E0" w14:textId="77777777" w:rsidR="00AB4589" w:rsidRPr="00230240" w:rsidRDefault="00AB4589" w:rsidP="00AB4589">
      <w:pPr>
        <w:spacing w:after="0"/>
        <w:rPr>
          <w:rFonts w:cs="Arial"/>
        </w:rPr>
      </w:pPr>
      <w:r w:rsidRPr="00230240">
        <w:rPr>
          <w:rFonts w:cs="Arial"/>
        </w:rPr>
        <w:lastRenderedPageBreak/>
        <w:t>The graph below demonstrates the drivers that make up the changes in the financial gap from £10</w:t>
      </w:r>
      <w:r>
        <w:rPr>
          <w:rFonts w:cs="Arial"/>
        </w:rPr>
        <w:t>.245</w:t>
      </w:r>
      <w:r w:rsidRPr="00230240">
        <w:rPr>
          <w:rFonts w:cs="Arial"/>
        </w:rPr>
        <w:t xml:space="preserve">m carried forward from 2019/20 to the cumulative position of </w:t>
      </w:r>
      <w:r w:rsidRPr="00866203">
        <w:rPr>
          <w:rFonts w:cs="Arial"/>
        </w:rPr>
        <w:t>£</w:t>
      </w:r>
      <w:r>
        <w:rPr>
          <w:rFonts w:cs="Arial"/>
        </w:rPr>
        <w:t>28.438</w:t>
      </w:r>
      <w:r w:rsidRPr="00866203">
        <w:rPr>
          <w:rFonts w:cs="Arial"/>
        </w:rPr>
        <w:t xml:space="preserve">m </w:t>
      </w:r>
      <w:r w:rsidRPr="00230240">
        <w:rPr>
          <w:rFonts w:cs="Arial"/>
        </w:rPr>
        <w:t>in the financial year 202</w:t>
      </w:r>
      <w:r>
        <w:rPr>
          <w:rFonts w:cs="Arial"/>
        </w:rPr>
        <w:t>3</w:t>
      </w:r>
      <w:r w:rsidRPr="00230240">
        <w:rPr>
          <w:rFonts w:cs="Arial"/>
        </w:rPr>
        <w:t>/2</w:t>
      </w:r>
      <w:r>
        <w:rPr>
          <w:rFonts w:cs="Arial"/>
        </w:rPr>
        <w:t>4</w:t>
      </w:r>
      <w:r w:rsidRPr="00230240">
        <w:rPr>
          <w:rFonts w:cs="Arial"/>
        </w:rPr>
        <w:t xml:space="preserve"> as shown in the table above:</w:t>
      </w:r>
    </w:p>
    <w:p w14:paraId="013FEDFB" w14:textId="77777777" w:rsidR="00AB4589" w:rsidRPr="00813473" w:rsidRDefault="00AB4589" w:rsidP="00AB4589">
      <w:pPr>
        <w:spacing w:after="0"/>
        <w:rPr>
          <w:rFonts w:cs="Arial"/>
          <w:highlight w:val="yellow"/>
        </w:rPr>
      </w:pPr>
    </w:p>
    <w:p w14:paraId="0C9956EE" w14:textId="77777777" w:rsidR="00AB4589" w:rsidRPr="00813473" w:rsidRDefault="00AB4589" w:rsidP="00AB4589">
      <w:pPr>
        <w:spacing w:after="0"/>
        <w:rPr>
          <w:rFonts w:cs="Arial"/>
          <w:highlight w:val="yellow"/>
        </w:rPr>
      </w:pPr>
      <w:r>
        <w:rPr>
          <w:noProof/>
          <w:lang w:eastAsia="en-GB"/>
        </w:rPr>
        <w:drawing>
          <wp:inline distT="0" distB="0" distL="0" distR="0" wp14:anchorId="61C40333" wp14:editId="37BBA135">
            <wp:extent cx="5731510" cy="3910965"/>
            <wp:effectExtent l="0" t="0" r="2540" b="13335"/>
            <wp:docPr id="8" name="Chart 8"/>
            <wp:cNvGraphicFramePr>
              <a:graphicFrameLocks xmlns:a="http://schemas.openxmlformats.org/drawingml/2006/main" noGrp="1" noSelect="1" noChangeAspect="1" noMove="1"/>
            </wp:cNvGraphicFramePr>
            <a:graphic xmlns:a="http://schemas.openxmlformats.org/drawingml/2006/main">
              <a:graphicData uri="http://schemas.openxmlformats.org/drawingml/2006/picture">
                <pic:pic xmlns:pic="http://schemas.openxmlformats.org/drawingml/2006/picture">
                  <pic:nvPicPr>
                    <pic:cNvPr id="1799584529" name="Chart 8"/>
                    <pic:cNvPicPr>
                      <a:picLocks noGrp="1" noRot="1" noChangeAspect="1" noMove="1" noResize="1" noEditPoints="1" noAdjustHandles="1" noChangeArrowheads="1" noChangeShapeType="1"/>
                    </pic:cNvPicPr>
                  </pic:nvPicPr>
                  <pic:blipFill>
                    <a:blip r:embed="rId11"/>
                    <a:stretch>
                      <a:fillRect/>
                    </a:stretch>
                  </pic:blipFill>
                  <pic:spPr>
                    <a:xfrm>
                      <a:off x="0" y="0"/>
                      <a:ext cx="5731510" cy="3910965"/>
                    </a:xfrm>
                    <a:prstGeom prst="rect">
                      <a:avLst/>
                    </a:prstGeom>
                  </pic:spPr>
                </pic:pic>
              </a:graphicData>
            </a:graphic>
          </wp:inline>
        </w:drawing>
      </w:r>
      <w:r>
        <w:rPr>
          <w:noProof/>
          <w:lang w:eastAsia="en-GB"/>
        </w:rPr>
        <w:t xml:space="preserve"> </w:t>
      </w:r>
    </w:p>
    <w:p w14:paraId="71A8AA65" w14:textId="77777777" w:rsidR="00AB4589" w:rsidRPr="00813473" w:rsidRDefault="00AB4589" w:rsidP="00AB4589">
      <w:pPr>
        <w:spacing w:after="0"/>
        <w:rPr>
          <w:rFonts w:cs="Arial"/>
          <w:b/>
          <w:highlight w:val="yellow"/>
        </w:rPr>
      </w:pPr>
    </w:p>
    <w:p w14:paraId="6E9DEA66" w14:textId="77777777" w:rsidR="00AB4589" w:rsidRPr="00243047" w:rsidRDefault="00AB4589" w:rsidP="00AB4589">
      <w:pPr>
        <w:tabs>
          <w:tab w:val="left" w:pos="567"/>
          <w:tab w:val="left" w:pos="1134"/>
        </w:tabs>
        <w:spacing w:after="0"/>
        <w:rPr>
          <w:rFonts w:cs="Arial"/>
          <w:b/>
        </w:rPr>
      </w:pPr>
      <w:r w:rsidRPr="00243047">
        <w:rPr>
          <w:rFonts w:cs="Arial"/>
          <w:b/>
        </w:rPr>
        <w:t>2. Funding</w:t>
      </w:r>
    </w:p>
    <w:p w14:paraId="3B363D79" w14:textId="77777777" w:rsidR="00AB4589" w:rsidRPr="00813473" w:rsidRDefault="00AB4589" w:rsidP="00AB4589">
      <w:pPr>
        <w:tabs>
          <w:tab w:val="left" w:pos="567"/>
          <w:tab w:val="left" w:pos="1134"/>
        </w:tabs>
        <w:spacing w:after="0"/>
        <w:rPr>
          <w:rFonts w:cs="Arial"/>
          <w:b/>
          <w:highlight w:val="yellow"/>
        </w:rPr>
      </w:pPr>
    </w:p>
    <w:p w14:paraId="2AE10C85" w14:textId="77777777" w:rsidR="00AB4589" w:rsidRPr="00463157" w:rsidRDefault="00AB4589" w:rsidP="00AB4589">
      <w:pPr>
        <w:tabs>
          <w:tab w:val="left" w:pos="567"/>
          <w:tab w:val="left" w:pos="1134"/>
        </w:tabs>
        <w:spacing w:after="0"/>
        <w:rPr>
          <w:rFonts w:cs="Arial"/>
        </w:rPr>
      </w:pPr>
      <w:r w:rsidRPr="00463157">
        <w:rPr>
          <w:rFonts w:cs="Arial"/>
        </w:rPr>
        <w:t xml:space="preserve">The funding included within this report reflects the </w:t>
      </w:r>
      <w:r>
        <w:rPr>
          <w:rFonts w:cs="Arial"/>
        </w:rPr>
        <w:t>provisional settlement</w:t>
      </w:r>
      <w:r w:rsidRPr="00463157">
        <w:rPr>
          <w:rFonts w:cs="Arial"/>
        </w:rPr>
        <w:t xml:space="preserve"> for 2020 that was announced on </w:t>
      </w:r>
      <w:r>
        <w:rPr>
          <w:rFonts w:cs="Arial"/>
        </w:rPr>
        <w:t>20</w:t>
      </w:r>
      <w:r w:rsidRPr="00463157">
        <w:rPr>
          <w:rFonts w:cs="Arial"/>
        </w:rPr>
        <w:t xml:space="preserve">th </w:t>
      </w:r>
      <w:r>
        <w:rPr>
          <w:rFonts w:cs="Arial"/>
        </w:rPr>
        <w:t>Dec</w:t>
      </w:r>
      <w:r w:rsidRPr="00463157">
        <w:rPr>
          <w:rFonts w:cs="Arial"/>
        </w:rPr>
        <w:t xml:space="preserve">ember 2019.  </w:t>
      </w:r>
      <w:r w:rsidRPr="003C69DB">
        <w:rPr>
          <w:rFonts w:cs="Arial"/>
        </w:rPr>
        <w:t xml:space="preserve">The </w:t>
      </w:r>
      <w:r>
        <w:rPr>
          <w:rFonts w:cs="Arial"/>
        </w:rPr>
        <w:t>announcement</w:t>
      </w:r>
      <w:r w:rsidRPr="003C69DB">
        <w:rPr>
          <w:rFonts w:cs="Arial"/>
        </w:rPr>
        <w:t xml:space="preserve"> confirmed that there would be a one year settlement in 2020/21 and that the fair funding review would be delayed until </w:t>
      </w:r>
      <w:r>
        <w:rPr>
          <w:rFonts w:cs="Arial"/>
        </w:rPr>
        <w:t xml:space="preserve">April </w:t>
      </w:r>
      <w:r w:rsidRPr="003C69DB">
        <w:rPr>
          <w:rFonts w:cs="Arial"/>
        </w:rPr>
        <w:t>202</w:t>
      </w:r>
      <w:r>
        <w:rPr>
          <w:rFonts w:cs="Arial"/>
        </w:rPr>
        <w:t>1</w:t>
      </w:r>
      <w:r w:rsidRPr="003C69DB">
        <w:rPr>
          <w:rFonts w:cs="Arial"/>
        </w:rPr>
        <w:t xml:space="preserve">. </w:t>
      </w:r>
      <w:r>
        <w:rPr>
          <w:rFonts w:cs="Arial"/>
        </w:rPr>
        <w:t>T</w:t>
      </w:r>
      <w:r w:rsidRPr="00463157">
        <w:rPr>
          <w:rFonts w:cs="Arial"/>
        </w:rPr>
        <w:t>here are no funding levels confirmed post 20</w:t>
      </w:r>
      <w:r>
        <w:rPr>
          <w:rFonts w:cs="Arial"/>
        </w:rPr>
        <w:t>19</w:t>
      </w:r>
      <w:r w:rsidRPr="00463157">
        <w:rPr>
          <w:rFonts w:cs="Arial"/>
        </w:rPr>
        <w:t>/2</w:t>
      </w:r>
      <w:r>
        <w:rPr>
          <w:rFonts w:cs="Arial"/>
        </w:rPr>
        <w:t>0</w:t>
      </w:r>
      <w:r w:rsidRPr="00463157">
        <w:rPr>
          <w:rFonts w:cs="Arial"/>
        </w:rPr>
        <w:t>. Assumptions have therefore been made</w:t>
      </w:r>
      <w:r>
        <w:rPr>
          <w:rFonts w:cs="Arial"/>
        </w:rPr>
        <w:t xml:space="preserve"> based on the provisional finance settlement</w:t>
      </w:r>
      <w:r w:rsidRPr="00463157">
        <w:rPr>
          <w:rFonts w:cs="Arial"/>
        </w:rPr>
        <w:t xml:space="preserve"> for funding levels from 202</w:t>
      </w:r>
      <w:r>
        <w:rPr>
          <w:rFonts w:cs="Arial"/>
        </w:rPr>
        <w:t>0</w:t>
      </w:r>
      <w:r w:rsidRPr="00463157">
        <w:rPr>
          <w:rFonts w:cs="Arial"/>
        </w:rPr>
        <w:t>/2</w:t>
      </w:r>
      <w:r>
        <w:rPr>
          <w:rFonts w:cs="Arial"/>
        </w:rPr>
        <w:t>1</w:t>
      </w:r>
      <w:r w:rsidRPr="00463157">
        <w:rPr>
          <w:rFonts w:cs="Arial"/>
        </w:rPr>
        <w:t xml:space="preserve"> – 202</w:t>
      </w:r>
      <w:r>
        <w:rPr>
          <w:rFonts w:cs="Arial"/>
        </w:rPr>
        <w:t>3</w:t>
      </w:r>
      <w:r w:rsidRPr="00463157">
        <w:rPr>
          <w:rFonts w:cs="Arial"/>
        </w:rPr>
        <w:t>/2</w:t>
      </w:r>
      <w:r>
        <w:rPr>
          <w:rFonts w:cs="Arial"/>
        </w:rPr>
        <w:t>4</w:t>
      </w:r>
      <w:r w:rsidRPr="00463157">
        <w:rPr>
          <w:rFonts w:cs="Arial"/>
        </w:rPr>
        <w:t xml:space="preserve"> that are detailed within this report. </w:t>
      </w:r>
    </w:p>
    <w:p w14:paraId="16AA21B0" w14:textId="77777777" w:rsidR="00AB4589" w:rsidRPr="00813473" w:rsidRDefault="00AB4589" w:rsidP="00AB4589">
      <w:pPr>
        <w:tabs>
          <w:tab w:val="left" w:pos="567"/>
          <w:tab w:val="left" w:pos="1134"/>
        </w:tabs>
        <w:spacing w:after="0"/>
        <w:rPr>
          <w:rFonts w:cs="Arial"/>
          <w:highlight w:val="yellow"/>
        </w:rPr>
      </w:pPr>
    </w:p>
    <w:p w14:paraId="17DB0879" w14:textId="77777777" w:rsidR="00AB4589" w:rsidRPr="00C70D77" w:rsidRDefault="00AB4589" w:rsidP="00AB4589">
      <w:pPr>
        <w:tabs>
          <w:tab w:val="left" w:pos="567"/>
          <w:tab w:val="left" w:pos="1134"/>
        </w:tabs>
        <w:spacing w:after="0"/>
        <w:rPr>
          <w:rFonts w:cs="Arial"/>
          <w:b/>
        </w:rPr>
      </w:pPr>
      <w:r w:rsidRPr="00C70D77">
        <w:rPr>
          <w:rFonts w:cs="Arial"/>
          <w:b/>
        </w:rPr>
        <w:t xml:space="preserve">Spending </w:t>
      </w:r>
      <w:r>
        <w:rPr>
          <w:rFonts w:cs="Arial"/>
          <w:b/>
        </w:rPr>
        <w:t>r</w:t>
      </w:r>
      <w:r w:rsidRPr="00C70D77">
        <w:rPr>
          <w:rFonts w:cs="Arial"/>
          <w:b/>
        </w:rPr>
        <w:t xml:space="preserve">eview, </w:t>
      </w:r>
      <w:r>
        <w:rPr>
          <w:rFonts w:cs="Arial"/>
          <w:b/>
        </w:rPr>
        <w:t>f</w:t>
      </w:r>
      <w:r w:rsidRPr="00C70D77">
        <w:rPr>
          <w:rFonts w:cs="Arial"/>
          <w:b/>
        </w:rPr>
        <w:t xml:space="preserve">air </w:t>
      </w:r>
      <w:r>
        <w:rPr>
          <w:rFonts w:cs="Arial"/>
          <w:b/>
        </w:rPr>
        <w:t>f</w:t>
      </w:r>
      <w:r w:rsidRPr="00C70D77">
        <w:rPr>
          <w:rFonts w:cs="Arial"/>
          <w:b/>
        </w:rPr>
        <w:t xml:space="preserve">unding </w:t>
      </w:r>
      <w:r>
        <w:rPr>
          <w:rFonts w:cs="Arial"/>
          <w:b/>
        </w:rPr>
        <w:t>f</w:t>
      </w:r>
      <w:r w:rsidRPr="00C70D77">
        <w:rPr>
          <w:rFonts w:cs="Arial"/>
          <w:b/>
        </w:rPr>
        <w:t>ormula and 75% business rates retention</w:t>
      </w:r>
    </w:p>
    <w:p w14:paraId="48E0D1E3" w14:textId="77777777" w:rsidR="00AB4589" w:rsidRDefault="00AB4589" w:rsidP="00AB4589">
      <w:pPr>
        <w:tabs>
          <w:tab w:val="left" w:pos="567"/>
          <w:tab w:val="left" w:pos="1134"/>
        </w:tabs>
        <w:spacing w:after="0"/>
        <w:rPr>
          <w:rFonts w:cs="Arial"/>
        </w:rPr>
      </w:pPr>
      <w:r w:rsidRPr="00A6440A">
        <w:rPr>
          <w:rFonts w:cs="Arial"/>
        </w:rPr>
        <w:t>During 2020</w:t>
      </w:r>
      <w:r>
        <w:rPr>
          <w:rFonts w:cs="Arial"/>
        </w:rPr>
        <w:t>,</w:t>
      </w:r>
      <w:r w:rsidRPr="00A6440A">
        <w:rPr>
          <w:rFonts w:cs="Arial"/>
        </w:rPr>
        <w:t xml:space="preserve"> a multi-year spending review will take place which will allow more time for the impact of funding changes to be effectively planned for. </w:t>
      </w:r>
    </w:p>
    <w:p w14:paraId="73E0D9B0" w14:textId="77777777" w:rsidR="00AB4589" w:rsidRDefault="00AB4589" w:rsidP="00AB4589">
      <w:pPr>
        <w:tabs>
          <w:tab w:val="left" w:pos="567"/>
          <w:tab w:val="left" w:pos="1134"/>
        </w:tabs>
        <w:spacing w:after="0"/>
        <w:rPr>
          <w:rFonts w:cs="Arial"/>
          <w:highlight w:val="yellow"/>
        </w:rPr>
      </w:pPr>
    </w:p>
    <w:p w14:paraId="140C282E" w14:textId="77777777" w:rsidR="00AB4589" w:rsidRPr="00A6440A" w:rsidRDefault="00AB4589" w:rsidP="00AB4589">
      <w:pPr>
        <w:tabs>
          <w:tab w:val="left" w:pos="567"/>
          <w:tab w:val="left" w:pos="1134"/>
        </w:tabs>
        <w:spacing w:after="0"/>
        <w:rPr>
          <w:rFonts w:cs="Arial"/>
        </w:rPr>
      </w:pPr>
      <w:r w:rsidRPr="00A6440A">
        <w:rPr>
          <w:rFonts w:cs="Arial"/>
        </w:rPr>
        <w:t xml:space="preserve">The </w:t>
      </w:r>
      <w:r>
        <w:rPr>
          <w:rFonts w:cs="Arial"/>
        </w:rPr>
        <w:t>provisional settlement</w:t>
      </w:r>
      <w:r w:rsidRPr="00A6440A">
        <w:rPr>
          <w:rFonts w:cs="Arial"/>
        </w:rPr>
        <w:t xml:space="preserve"> confirmed that 2020/21 would effectively be 'rolled over' from 2019/20, giving councils the stability they need to set a budget.    </w:t>
      </w:r>
    </w:p>
    <w:p w14:paraId="316E2E46" w14:textId="77777777" w:rsidR="00AB4589" w:rsidRPr="00A6440A" w:rsidRDefault="00AB4589" w:rsidP="00AB4589">
      <w:pPr>
        <w:tabs>
          <w:tab w:val="left" w:pos="567"/>
          <w:tab w:val="left" w:pos="1134"/>
        </w:tabs>
        <w:spacing w:after="0"/>
        <w:rPr>
          <w:rFonts w:cs="Arial"/>
        </w:rPr>
      </w:pPr>
    </w:p>
    <w:p w14:paraId="6AF20ACB" w14:textId="77777777" w:rsidR="00AB4589" w:rsidRDefault="00AB4589" w:rsidP="00AB4589">
      <w:pPr>
        <w:tabs>
          <w:tab w:val="left" w:pos="567"/>
          <w:tab w:val="left" w:pos="1134"/>
        </w:tabs>
        <w:spacing w:after="0"/>
      </w:pPr>
      <w:r w:rsidRPr="00A6440A">
        <w:rPr>
          <w:rFonts w:cs="Arial"/>
        </w:rPr>
        <w:t xml:space="preserve">In the </w:t>
      </w:r>
      <w:r>
        <w:rPr>
          <w:rFonts w:cs="Arial"/>
        </w:rPr>
        <w:t>provisional settlement</w:t>
      </w:r>
      <w:r w:rsidRPr="00A6440A">
        <w:rPr>
          <w:rFonts w:cs="Arial"/>
        </w:rPr>
        <w:t>, the Chancellor announced that c</w:t>
      </w:r>
      <w:r w:rsidRPr="00A6440A">
        <w:t>ouncils will have access to new social care funding of £1.5bn in 2020/21.</w:t>
      </w:r>
      <w:r>
        <w:t xml:space="preserve">  This consists of grant funding and up to a 2% adult social care precept.  </w:t>
      </w:r>
    </w:p>
    <w:p w14:paraId="62950601" w14:textId="77777777" w:rsidR="00AB4589" w:rsidRDefault="00AB4589" w:rsidP="00AB4589">
      <w:pPr>
        <w:tabs>
          <w:tab w:val="left" w:pos="567"/>
          <w:tab w:val="left" w:pos="1134"/>
        </w:tabs>
        <w:spacing w:after="0"/>
      </w:pPr>
    </w:p>
    <w:p w14:paraId="0A1442BC" w14:textId="77777777" w:rsidR="00AB4589" w:rsidRDefault="00AB4589" w:rsidP="00AB4589">
      <w:pPr>
        <w:tabs>
          <w:tab w:val="left" w:pos="567"/>
          <w:tab w:val="left" w:pos="1134"/>
        </w:tabs>
        <w:spacing w:after="0"/>
      </w:pPr>
      <w:r>
        <w:t xml:space="preserve">The provisional settlement also confirmed that revenue support grant would continue at 2019/20 inflated amounts, and that the social care funding allocated in 2019/20 </w:t>
      </w:r>
      <w:r>
        <w:lastRenderedPageBreak/>
        <w:t xml:space="preserve">would continue into 2020/21. It was also confirmed that </w:t>
      </w:r>
      <w:r w:rsidRPr="00E6290D">
        <w:t>the 2019</w:t>
      </w:r>
      <w:r>
        <w:t>/</w:t>
      </w:r>
      <w:r w:rsidRPr="00E6290D">
        <w:t>20 75% business rates pilots would not continue into 2020/21</w:t>
      </w:r>
    </w:p>
    <w:p w14:paraId="4650EF21" w14:textId="77777777" w:rsidR="00AB4589" w:rsidRDefault="00AB4589" w:rsidP="00AB4589">
      <w:pPr>
        <w:tabs>
          <w:tab w:val="left" w:pos="567"/>
          <w:tab w:val="left" w:pos="1134"/>
        </w:tabs>
        <w:spacing w:after="0"/>
      </w:pPr>
    </w:p>
    <w:p w14:paraId="29F28DBF" w14:textId="77777777" w:rsidR="00AB4589" w:rsidRDefault="00AB4589" w:rsidP="00AB4589">
      <w:pPr>
        <w:tabs>
          <w:tab w:val="left" w:pos="567"/>
          <w:tab w:val="left" w:pos="1134"/>
        </w:tabs>
        <w:spacing w:after="0"/>
      </w:pPr>
      <w:r w:rsidRPr="002A0817">
        <w:t>As a result of the uncertainty of future funding we have carried out some scenario analysis around possible funding profiles. In total 9 scenarios were modelled (this is not an exhaustive analysis of all funding options but consisted of the most obvious measures which could be taken) which resulted in forecast funding gaps between a surplus of £6m to a deficit of £85m. Following a review of these scenarios by the corporate management team, including the consideration of advice from external advisors, a core and most likely funding scenario on which to base this medium term financial strategy was agreed.</w:t>
      </w:r>
    </w:p>
    <w:p w14:paraId="59349A2C" w14:textId="77777777" w:rsidR="00AB4589" w:rsidRDefault="00AB4589" w:rsidP="00AB4589">
      <w:pPr>
        <w:tabs>
          <w:tab w:val="left" w:pos="567"/>
          <w:tab w:val="left" w:pos="1134"/>
        </w:tabs>
        <w:spacing w:after="0"/>
      </w:pPr>
    </w:p>
    <w:p w14:paraId="520B7641" w14:textId="77777777" w:rsidR="00AB4589" w:rsidRDefault="00AB4589" w:rsidP="00AB4589">
      <w:pPr>
        <w:tabs>
          <w:tab w:val="left" w:pos="567"/>
          <w:tab w:val="left" w:pos="1134"/>
        </w:tabs>
        <w:spacing w:after="0"/>
      </w:pPr>
      <w:r>
        <w:t>As a result of the above the assumptions around funding are that:</w:t>
      </w:r>
    </w:p>
    <w:p w14:paraId="1CC48783" w14:textId="77777777" w:rsidR="00AB4589" w:rsidRDefault="00AB4589" w:rsidP="00AB4589">
      <w:pPr>
        <w:pStyle w:val="ListParagraph"/>
        <w:numPr>
          <w:ilvl w:val="0"/>
          <w:numId w:val="45"/>
        </w:numPr>
        <w:tabs>
          <w:tab w:val="left" w:pos="567"/>
          <w:tab w:val="left" w:pos="1134"/>
        </w:tabs>
        <w:spacing w:after="0"/>
        <w:ind w:left="567" w:hanging="207"/>
      </w:pPr>
      <w:r>
        <w:t>Revenue support grant or funding at the equivalent value through any new fair funding formula will be ongoing for the currency of this plan</w:t>
      </w:r>
    </w:p>
    <w:p w14:paraId="3A8F75A5" w14:textId="77777777" w:rsidR="00AB4589" w:rsidRDefault="00AB4589" w:rsidP="00AB4589">
      <w:pPr>
        <w:pStyle w:val="ListParagraph"/>
        <w:numPr>
          <w:ilvl w:val="0"/>
          <w:numId w:val="45"/>
        </w:numPr>
        <w:tabs>
          <w:tab w:val="left" w:pos="567"/>
          <w:tab w:val="left" w:pos="1134"/>
        </w:tabs>
        <w:spacing w:after="0"/>
      </w:pPr>
      <w:r>
        <w:t>An adult social care precept of 2% will be levied in 2020/21 only</w:t>
      </w:r>
    </w:p>
    <w:p w14:paraId="2CA1189A" w14:textId="77777777" w:rsidR="00AB4589" w:rsidRPr="00967687" w:rsidRDefault="00AB4589" w:rsidP="00F43E08">
      <w:pPr>
        <w:pStyle w:val="ListParagraph"/>
        <w:numPr>
          <w:ilvl w:val="0"/>
          <w:numId w:val="45"/>
        </w:numPr>
        <w:tabs>
          <w:tab w:val="left" w:pos="567"/>
          <w:tab w:val="left" w:pos="1134"/>
        </w:tabs>
        <w:spacing w:after="0"/>
        <w:ind w:left="567" w:hanging="207"/>
      </w:pPr>
      <w:r>
        <w:t xml:space="preserve">The social care grant announced in the provisional settlement will continue for the length of the parliament which covers the MTFS period and beyond. </w:t>
      </w:r>
    </w:p>
    <w:p w14:paraId="3B39A7BC" w14:textId="77777777" w:rsidR="00AB4589" w:rsidRDefault="00AB4589" w:rsidP="00AB4589">
      <w:pPr>
        <w:spacing w:after="0"/>
        <w:rPr>
          <w:rFonts w:cs="Arial"/>
        </w:rPr>
      </w:pPr>
    </w:p>
    <w:p w14:paraId="2DE49E55" w14:textId="77777777" w:rsidR="00AB4589" w:rsidRPr="008B6234" w:rsidRDefault="00AB4589" w:rsidP="00AB4589">
      <w:pPr>
        <w:spacing w:after="0"/>
        <w:rPr>
          <w:rFonts w:cs="Arial"/>
        </w:rPr>
      </w:pPr>
      <w:r w:rsidRPr="008B6234">
        <w:rPr>
          <w:rFonts w:cs="Arial"/>
        </w:rPr>
        <w:t xml:space="preserve">The table below reflects the updated funding position. </w:t>
      </w:r>
    </w:p>
    <w:p w14:paraId="369ADDD9" w14:textId="77777777" w:rsidR="00AB4589" w:rsidRDefault="00AB4589" w:rsidP="00AB4589">
      <w:pPr>
        <w:spacing w:after="0"/>
        <w:rPr>
          <w:rFonts w:cs="Arial"/>
        </w:rPr>
      </w:pPr>
    </w:p>
    <w:p w14:paraId="6E3DA5CC" w14:textId="77777777" w:rsidR="00AB4589" w:rsidRPr="008B6234" w:rsidRDefault="00AB4589" w:rsidP="00AB4589">
      <w:pPr>
        <w:spacing w:after="0"/>
        <w:rPr>
          <w:rFonts w:cs="Arial"/>
          <w:b/>
          <w:i/>
          <w:u w:val="single"/>
        </w:rPr>
      </w:pPr>
      <w:r w:rsidRPr="008B6234">
        <w:rPr>
          <w:rFonts w:cs="Arial"/>
          <w:b/>
          <w:i/>
          <w:u w:val="single"/>
        </w:rPr>
        <w:t>Table 2</w:t>
      </w:r>
    </w:p>
    <w:p w14:paraId="4E0E6664" w14:textId="77777777" w:rsidR="00AB4589" w:rsidRPr="00813473" w:rsidRDefault="00AB4589" w:rsidP="00AB4589">
      <w:pPr>
        <w:spacing w:after="0"/>
        <w:rPr>
          <w:rFonts w:cs="Arial"/>
          <w:b/>
          <w:i/>
          <w:highlight w:val="yellow"/>
          <w:u w:val="single"/>
        </w:rPr>
      </w:pPr>
    </w:p>
    <w:tbl>
      <w:tblPr>
        <w:tblStyle w:val="TableGrid20"/>
        <w:tblW w:w="10443" w:type="dxa"/>
        <w:jc w:val="center"/>
        <w:tblLayout w:type="fixed"/>
        <w:tblLook w:val="04A0" w:firstRow="1" w:lastRow="0" w:firstColumn="1" w:lastColumn="0" w:noHBand="0" w:noVBand="1"/>
      </w:tblPr>
      <w:tblGrid>
        <w:gridCol w:w="3828"/>
        <w:gridCol w:w="1653"/>
        <w:gridCol w:w="1654"/>
        <w:gridCol w:w="1654"/>
        <w:gridCol w:w="1654"/>
      </w:tblGrid>
      <w:tr w:rsidR="0015230B" w14:paraId="572BBA41" w14:textId="77777777" w:rsidTr="00AB4589">
        <w:trPr>
          <w:trHeight w:val="593"/>
          <w:jc w:val="center"/>
        </w:trPr>
        <w:tc>
          <w:tcPr>
            <w:tcW w:w="3828" w:type="dxa"/>
            <w:shd w:val="clear" w:color="auto" w:fill="BFBFBF" w:themeFill="background1" w:themeFillShade="BF"/>
            <w:vAlign w:val="center"/>
          </w:tcPr>
          <w:p w14:paraId="197AD7BB" w14:textId="77777777" w:rsidR="00AB4589" w:rsidRPr="00813473" w:rsidRDefault="00AB4589" w:rsidP="00AB4589">
            <w:pPr>
              <w:rPr>
                <w:rFonts w:eastAsiaTheme="minorHAnsi" w:cs="Arial"/>
                <w:highlight w:val="yellow"/>
              </w:rPr>
            </w:pPr>
          </w:p>
        </w:tc>
        <w:tc>
          <w:tcPr>
            <w:tcW w:w="1653" w:type="dxa"/>
            <w:shd w:val="clear" w:color="auto" w:fill="BFBFBF" w:themeFill="background1" w:themeFillShade="BF"/>
            <w:vAlign w:val="center"/>
          </w:tcPr>
          <w:p w14:paraId="18B2ECC4" w14:textId="77777777" w:rsidR="00AB4589" w:rsidRPr="008B6234" w:rsidRDefault="00AB4589" w:rsidP="00AB4589">
            <w:pPr>
              <w:jc w:val="center"/>
              <w:rPr>
                <w:rFonts w:eastAsiaTheme="minorHAnsi" w:cs="Arial"/>
                <w:b/>
              </w:rPr>
            </w:pPr>
            <w:r w:rsidRPr="008B6234">
              <w:rPr>
                <w:rFonts w:eastAsiaTheme="minorHAnsi" w:cs="Arial"/>
                <w:b/>
              </w:rPr>
              <w:t>2020/21</w:t>
            </w:r>
          </w:p>
          <w:p w14:paraId="2331C7CA" w14:textId="77777777" w:rsidR="00AB4589" w:rsidRPr="008B6234" w:rsidRDefault="00AB4589" w:rsidP="00AB4589">
            <w:pPr>
              <w:jc w:val="center"/>
              <w:rPr>
                <w:rFonts w:eastAsiaTheme="minorHAnsi" w:cs="Arial"/>
                <w:b/>
              </w:rPr>
            </w:pPr>
            <w:r w:rsidRPr="008B6234">
              <w:rPr>
                <w:rFonts w:eastAsiaTheme="minorHAnsi" w:cs="Arial"/>
                <w:b/>
              </w:rPr>
              <w:t>£m</w:t>
            </w:r>
          </w:p>
        </w:tc>
        <w:tc>
          <w:tcPr>
            <w:tcW w:w="1654" w:type="dxa"/>
            <w:shd w:val="clear" w:color="auto" w:fill="BFBFBF" w:themeFill="background1" w:themeFillShade="BF"/>
            <w:vAlign w:val="center"/>
          </w:tcPr>
          <w:p w14:paraId="47CA46C8" w14:textId="77777777" w:rsidR="00AB4589" w:rsidRPr="008B6234" w:rsidRDefault="00AB4589" w:rsidP="00AB4589">
            <w:pPr>
              <w:jc w:val="center"/>
              <w:rPr>
                <w:rFonts w:eastAsiaTheme="minorHAnsi" w:cs="Arial"/>
                <w:b/>
              </w:rPr>
            </w:pPr>
            <w:r w:rsidRPr="008B6234">
              <w:rPr>
                <w:rFonts w:eastAsiaTheme="minorHAnsi" w:cs="Arial"/>
                <w:b/>
              </w:rPr>
              <w:t>2021/22</w:t>
            </w:r>
          </w:p>
          <w:p w14:paraId="360A3B8D" w14:textId="77777777" w:rsidR="00AB4589" w:rsidRPr="008B6234" w:rsidRDefault="00AB4589" w:rsidP="00AB4589">
            <w:pPr>
              <w:jc w:val="center"/>
              <w:rPr>
                <w:rFonts w:eastAsiaTheme="minorHAnsi" w:cs="Arial"/>
                <w:b/>
              </w:rPr>
            </w:pPr>
            <w:r w:rsidRPr="008B6234">
              <w:rPr>
                <w:rFonts w:eastAsiaTheme="minorHAnsi" w:cs="Arial"/>
                <w:b/>
              </w:rPr>
              <w:t>£m</w:t>
            </w:r>
          </w:p>
        </w:tc>
        <w:tc>
          <w:tcPr>
            <w:tcW w:w="1654" w:type="dxa"/>
            <w:shd w:val="clear" w:color="auto" w:fill="BFBFBF" w:themeFill="background1" w:themeFillShade="BF"/>
          </w:tcPr>
          <w:p w14:paraId="419B6258" w14:textId="77777777" w:rsidR="00AB4589" w:rsidRPr="008B6234" w:rsidRDefault="00AB4589" w:rsidP="00AB4589">
            <w:pPr>
              <w:jc w:val="center"/>
              <w:rPr>
                <w:rFonts w:eastAsiaTheme="minorHAnsi" w:cs="Arial"/>
                <w:b/>
              </w:rPr>
            </w:pPr>
            <w:r w:rsidRPr="008B6234">
              <w:rPr>
                <w:rFonts w:eastAsiaTheme="minorHAnsi" w:cs="Arial"/>
                <w:b/>
              </w:rPr>
              <w:t xml:space="preserve">2022/23 </w:t>
            </w:r>
          </w:p>
          <w:p w14:paraId="0118A6CF" w14:textId="77777777" w:rsidR="00AB4589" w:rsidRPr="008B6234" w:rsidRDefault="00AB4589" w:rsidP="00AB4589">
            <w:pPr>
              <w:jc w:val="center"/>
              <w:rPr>
                <w:rFonts w:eastAsiaTheme="minorHAnsi" w:cs="Arial"/>
                <w:b/>
              </w:rPr>
            </w:pPr>
            <w:r w:rsidRPr="008B6234">
              <w:rPr>
                <w:rFonts w:eastAsiaTheme="minorHAnsi" w:cs="Arial"/>
                <w:b/>
              </w:rPr>
              <w:t>£m</w:t>
            </w:r>
          </w:p>
        </w:tc>
        <w:tc>
          <w:tcPr>
            <w:tcW w:w="1654" w:type="dxa"/>
            <w:shd w:val="clear" w:color="auto" w:fill="BFBFBF" w:themeFill="background1" w:themeFillShade="BF"/>
          </w:tcPr>
          <w:p w14:paraId="29C408B3" w14:textId="77777777" w:rsidR="00AB4589" w:rsidRDefault="00AB4589" w:rsidP="00AB4589">
            <w:pPr>
              <w:jc w:val="center"/>
              <w:rPr>
                <w:rFonts w:eastAsiaTheme="minorHAnsi" w:cs="Arial"/>
                <w:b/>
              </w:rPr>
            </w:pPr>
            <w:r>
              <w:rPr>
                <w:rFonts w:eastAsiaTheme="minorHAnsi" w:cs="Arial"/>
                <w:b/>
              </w:rPr>
              <w:t>2023/24</w:t>
            </w:r>
          </w:p>
          <w:p w14:paraId="608E8907" w14:textId="77777777" w:rsidR="00AB4589" w:rsidRPr="008B6234" w:rsidRDefault="00AB4589" w:rsidP="00AB4589">
            <w:pPr>
              <w:jc w:val="center"/>
              <w:rPr>
                <w:rFonts w:eastAsiaTheme="minorHAnsi" w:cs="Arial"/>
                <w:b/>
              </w:rPr>
            </w:pPr>
            <w:r>
              <w:rPr>
                <w:rFonts w:eastAsiaTheme="minorHAnsi" w:cs="Arial"/>
                <w:b/>
              </w:rPr>
              <w:t>£m</w:t>
            </w:r>
          </w:p>
        </w:tc>
      </w:tr>
      <w:tr w:rsidR="0015230B" w14:paraId="17A44206" w14:textId="77777777" w:rsidTr="00AB4589">
        <w:trPr>
          <w:trHeight w:val="526"/>
          <w:jc w:val="center"/>
        </w:trPr>
        <w:tc>
          <w:tcPr>
            <w:tcW w:w="3828" w:type="dxa"/>
            <w:vAlign w:val="center"/>
          </w:tcPr>
          <w:p w14:paraId="43953691" w14:textId="77777777" w:rsidR="00AB4589" w:rsidRPr="008B6234" w:rsidRDefault="00AB4589" w:rsidP="00AB4589">
            <w:pPr>
              <w:rPr>
                <w:rFonts w:eastAsiaTheme="minorHAnsi" w:cs="Arial"/>
              </w:rPr>
            </w:pPr>
            <w:r w:rsidRPr="008B6234">
              <w:rPr>
                <w:rFonts w:eastAsiaTheme="minorHAnsi" w:cs="Arial"/>
              </w:rPr>
              <w:t>Revenue Support Grant</w:t>
            </w:r>
            <w:r>
              <w:rPr>
                <w:rFonts w:eastAsiaTheme="minorHAnsi" w:cs="Arial"/>
              </w:rPr>
              <w:t xml:space="preserve"> &amp; New Homes Bonus</w:t>
            </w:r>
          </w:p>
        </w:tc>
        <w:tc>
          <w:tcPr>
            <w:tcW w:w="1653" w:type="dxa"/>
            <w:vAlign w:val="center"/>
          </w:tcPr>
          <w:p w14:paraId="4E5B222E" w14:textId="77777777" w:rsidR="00AB4589" w:rsidRPr="006209AC" w:rsidRDefault="00AB4589" w:rsidP="00AB4589">
            <w:pPr>
              <w:spacing w:after="0"/>
              <w:jc w:val="right"/>
              <w:rPr>
                <w:rFonts w:cs="Arial"/>
                <w:sz w:val="22"/>
                <w:szCs w:val="22"/>
              </w:rPr>
            </w:pPr>
            <w:r>
              <w:rPr>
                <w:rFonts w:cs="Arial"/>
                <w:sz w:val="22"/>
                <w:szCs w:val="22"/>
              </w:rPr>
              <w:t>36.646</w:t>
            </w:r>
          </w:p>
        </w:tc>
        <w:tc>
          <w:tcPr>
            <w:tcW w:w="1654" w:type="dxa"/>
            <w:vAlign w:val="center"/>
          </w:tcPr>
          <w:p w14:paraId="193B1FD2" w14:textId="77777777" w:rsidR="00AB4589" w:rsidRPr="006209AC" w:rsidRDefault="00AB4589" w:rsidP="00AB4589">
            <w:pPr>
              <w:spacing w:after="0"/>
              <w:jc w:val="right"/>
              <w:rPr>
                <w:rFonts w:cs="Arial"/>
                <w:sz w:val="22"/>
                <w:szCs w:val="22"/>
              </w:rPr>
            </w:pPr>
            <w:r>
              <w:rPr>
                <w:rFonts w:cs="Arial"/>
                <w:sz w:val="22"/>
                <w:szCs w:val="22"/>
              </w:rPr>
              <w:t>35.890</w:t>
            </w:r>
          </w:p>
        </w:tc>
        <w:tc>
          <w:tcPr>
            <w:tcW w:w="1654" w:type="dxa"/>
            <w:vAlign w:val="center"/>
          </w:tcPr>
          <w:p w14:paraId="0C407E5A" w14:textId="77777777" w:rsidR="00AB4589" w:rsidRPr="006209AC" w:rsidRDefault="00AB4589" w:rsidP="00AB4589">
            <w:pPr>
              <w:spacing w:after="0"/>
              <w:jc w:val="right"/>
              <w:rPr>
                <w:rFonts w:cs="Arial"/>
                <w:sz w:val="22"/>
                <w:szCs w:val="22"/>
              </w:rPr>
            </w:pPr>
            <w:r>
              <w:rPr>
                <w:rFonts w:cs="Arial"/>
                <w:sz w:val="22"/>
                <w:szCs w:val="22"/>
              </w:rPr>
              <w:t>34.329</w:t>
            </w:r>
          </w:p>
        </w:tc>
        <w:tc>
          <w:tcPr>
            <w:tcW w:w="1654" w:type="dxa"/>
            <w:vAlign w:val="center"/>
          </w:tcPr>
          <w:p w14:paraId="213C0BFA" w14:textId="77777777" w:rsidR="00AB4589" w:rsidRPr="006209AC" w:rsidRDefault="00AB4589" w:rsidP="00AB4589">
            <w:pPr>
              <w:spacing w:after="0"/>
              <w:jc w:val="right"/>
              <w:rPr>
                <w:rFonts w:cs="Arial"/>
                <w:sz w:val="22"/>
                <w:szCs w:val="22"/>
              </w:rPr>
            </w:pPr>
            <w:r>
              <w:rPr>
                <w:rFonts w:cs="Arial"/>
                <w:sz w:val="22"/>
                <w:szCs w:val="22"/>
              </w:rPr>
              <w:t>31.904</w:t>
            </w:r>
          </w:p>
        </w:tc>
      </w:tr>
      <w:tr w:rsidR="0015230B" w14:paraId="075AED45" w14:textId="77777777" w:rsidTr="00AB4589">
        <w:trPr>
          <w:trHeight w:val="526"/>
          <w:jc w:val="center"/>
        </w:trPr>
        <w:tc>
          <w:tcPr>
            <w:tcW w:w="3828" w:type="dxa"/>
            <w:vAlign w:val="center"/>
            <w:hideMark/>
          </w:tcPr>
          <w:p w14:paraId="1385AF9B" w14:textId="77777777" w:rsidR="00AB4589" w:rsidRPr="008B6234" w:rsidRDefault="00AB4589" w:rsidP="00AB4589">
            <w:pPr>
              <w:rPr>
                <w:rFonts w:eastAsiaTheme="minorHAnsi" w:cs="Arial"/>
                <w:color w:val="auto"/>
              </w:rPr>
            </w:pPr>
            <w:r w:rsidRPr="008B6234">
              <w:rPr>
                <w:rFonts w:eastAsiaTheme="minorHAnsi" w:cs="Arial"/>
                <w:color w:val="auto"/>
              </w:rPr>
              <w:t>Business Rates</w:t>
            </w:r>
          </w:p>
        </w:tc>
        <w:tc>
          <w:tcPr>
            <w:tcW w:w="1653" w:type="dxa"/>
            <w:vAlign w:val="bottom"/>
          </w:tcPr>
          <w:p w14:paraId="0AAE9578" w14:textId="77777777" w:rsidR="00AB4589" w:rsidRPr="006209AC" w:rsidRDefault="00AB4589" w:rsidP="00AB4589">
            <w:pPr>
              <w:spacing w:after="0"/>
              <w:jc w:val="right"/>
              <w:rPr>
                <w:rFonts w:cs="Arial"/>
                <w:sz w:val="22"/>
                <w:szCs w:val="22"/>
              </w:rPr>
            </w:pPr>
            <w:r w:rsidRPr="00003132">
              <w:rPr>
                <w:rFonts w:cs="Arial"/>
                <w:sz w:val="22"/>
                <w:szCs w:val="22"/>
              </w:rPr>
              <w:t>198.009</w:t>
            </w:r>
          </w:p>
        </w:tc>
        <w:tc>
          <w:tcPr>
            <w:tcW w:w="1654" w:type="dxa"/>
            <w:tcBorders>
              <w:top w:val="nil"/>
              <w:left w:val="single" w:sz="4" w:space="0" w:color="auto"/>
              <w:bottom w:val="single" w:sz="4" w:space="0" w:color="auto"/>
              <w:right w:val="single" w:sz="4" w:space="0" w:color="auto"/>
            </w:tcBorders>
            <w:shd w:val="clear" w:color="auto" w:fill="auto"/>
            <w:vAlign w:val="bottom"/>
          </w:tcPr>
          <w:p w14:paraId="66A8CCFF" w14:textId="77777777" w:rsidR="00AB4589" w:rsidRPr="006209AC" w:rsidRDefault="00AB4589" w:rsidP="00AB4589">
            <w:pPr>
              <w:spacing w:after="0"/>
              <w:jc w:val="right"/>
              <w:rPr>
                <w:rFonts w:cs="Arial"/>
                <w:sz w:val="22"/>
                <w:szCs w:val="22"/>
              </w:rPr>
            </w:pPr>
            <w:r w:rsidRPr="00003132">
              <w:rPr>
                <w:rFonts w:cs="Arial"/>
                <w:sz w:val="22"/>
                <w:szCs w:val="22"/>
              </w:rPr>
              <w:t>206.150</w:t>
            </w:r>
          </w:p>
        </w:tc>
        <w:tc>
          <w:tcPr>
            <w:tcW w:w="1654" w:type="dxa"/>
            <w:tcBorders>
              <w:top w:val="nil"/>
              <w:left w:val="nil"/>
              <w:bottom w:val="single" w:sz="4" w:space="0" w:color="auto"/>
              <w:right w:val="single" w:sz="4" w:space="0" w:color="auto"/>
            </w:tcBorders>
            <w:shd w:val="clear" w:color="auto" w:fill="auto"/>
            <w:vAlign w:val="bottom"/>
          </w:tcPr>
          <w:p w14:paraId="74CD3983" w14:textId="77777777" w:rsidR="00AB4589" w:rsidRPr="006209AC" w:rsidRDefault="00AB4589" w:rsidP="00AB4589">
            <w:pPr>
              <w:spacing w:after="0"/>
              <w:jc w:val="right"/>
              <w:rPr>
                <w:rFonts w:cs="Arial"/>
                <w:sz w:val="22"/>
                <w:szCs w:val="22"/>
              </w:rPr>
            </w:pPr>
            <w:r w:rsidRPr="00003132">
              <w:rPr>
                <w:rFonts w:cs="Arial"/>
                <w:sz w:val="22"/>
                <w:szCs w:val="22"/>
              </w:rPr>
              <w:t>209.330</w:t>
            </w:r>
          </w:p>
        </w:tc>
        <w:tc>
          <w:tcPr>
            <w:tcW w:w="1654" w:type="dxa"/>
            <w:tcBorders>
              <w:top w:val="nil"/>
              <w:left w:val="nil"/>
              <w:bottom w:val="single" w:sz="4" w:space="0" w:color="auto"/>
              <w:right w:val="single" w:sz="4" w:space="0" w:color="auto"/>
            </w:tcBorders>
            <w:vAlign w:val="center"/>
          </w:tcPr>
          <w:p w14:paraId="00243F7E" w14:textId="77777777" w:rsidR="00AB4589" w:rsidRDefault="00AB4589" w:rsidP="00AB4589">
            <w:pPr>
              <w:spacing w:after="0"/>
              <w:jc w:val="right"/>
              <w:rPr>
                <w:rFonts w:cs="Arial"/>
                <w:sz w:val="22"/>
                <w:szCs w:val="22"/>
              </w:rPr>
            </w:pPr>
          </w:p>
          <w:p w14:paraId="09A483A4" w14:textId="77777777" w:rsidR="00AB4589" w:rsidRPr="00003132" w:rsidRDefault="00AB4589" w:rsidP="00AB4589">
            <w:pPr>
              <w:spacing w:after="0"/>
              <w:jc w:val="right"/>
              <w:rPr>
                <w:rFonts w:cs="Arial"/>
                <w:sz w:val="22"/>
                <w:szCs w:val="22"/>
              </w:rPr>
            </w:pPr>
            <w:r>
              <w:rPr>
                <w:rFonts w:cs="Arial"/>
                <w:sz w:val="22"/>
                <w:szCs w:val="22"/>
              </w:rPr>
              <w:t>212.569</w:t>
            </w:r>
          </w:p>
        </w:tc>
      </w:tr>
      <w:tr w:rsidR="0015230B" w14:paraId="2A5A7694" w14:textId="77777777" w:rsidTr="00AB4589">
        <w:trPr>
          <w:trHeight w:val="526"/>
          <w:jc w:val="center"/>
        </w:trPr>
        <w:tc>
          <w:tcPr>
            <w:tcW w:w="3828" w:type="dxa"/>
            <w:vAlign w:val="center"/>
            <w:hideMark/>
          </w:tcPr>
          <w:p w14:paraId="464D24E2" w14:textId="77777777" w:rsidR="00AB4589" w:rsidRPr="008B6234" w:rsidRDefault="00AB4589" w:rsidP="00AB4589">
            <w:pPr>
              <w:rPr>
                <w:rFonts w:eastAsiaTheme="minorHAnsi" w:cs="Arial"/>
                <w:color w:val="auto"/>
              </w:rPr>
            </w:pPr>
            <w:r w:rsidRPr="008B6234">
              <w:rPr>
                <w:rFonts w:eastAsiaTheme="minorHAnsi" w:cs="Arial"/>
                <w:color w:val="auto"/>
              </w:rPr>
              <w:t>Council Tax</w:t>
            </w:r>
          </w:p>
        </w:tc>
        <w:tc>
          <w:tcPr>
            <w:tcW w:w="1653" w:type="dxa"/>
            <w:tcBorders>
              <w:top w:val="nil"/>
              <w:left w:val="nil"/>
              <w:bottom w:val="single" w:sz="4" w:space="0" w:color="auto"/>
              <w:right w:val="nil"/>
            </w:tcBorders>
            <w:shd w:val="clear" w:color="auto" w:fill="auto"/>
            <w:vAlign w:val="bottom"/>
          </w:tcPr>
          <w:p w14:paraId="188CBEDC" w14:textId="77777777" w:rsidR="00AB4589" w:rsidRPr="006209AC" w:rsidRDefault="00AB4589" w:rsidP="00AB4589">
            <w:pPr>
              <w:spacing w:after="0"/>
              <w:jc w:val="right"/>
              <w:rPr>
                <w:rFonts w:cs="Arial"/>
                <w:sz w:val="22"/>
                <w:szCs w:val="22"/>
              </w:rPr>
            </w:pPr>
            <w:r w:rsidRPr="00003132">
              <w:rPr>
                <w:rFonts w:cs="Arial"/>
                <w:sz w:val="22"/>
                <w:szCs w:val="22"/>
              </w:rPr>
              <w:t>522.335</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tcPr>
          <w:p w14:paraId="6A82B8D0" w14:textId="77777777" w:rsidR="00AB4589" w:rsidRPr="006209AC" w:rsidRDefault="00AB4589" w:rsidP="00AB4589">
            <w:pPr>
              <w:spacing w:after="0"/>
              <w:jc w:val="right"/>
              <w:rPr>
                <w:rFonts w:cs="Arial"/>
                <w:sz w:val="22"/>
                <w:szCs w:val="22"/>
              </w:rPr>
            </w:pPr>
            <w:r w:rsidRPr="00003132">
              <w:rPr>
                <w:rFonts w:cs="Arial"/>
                <w:sz w:val="22"/>
                <w:szCs w:val="22"/>
              </w:rPr>
              <w:t>541.786</w:t>
            </w:r>
          </w:p>
        </w:tc>
        <w:tc>
          <w:tcPr>
            <w:tcW w:w="1654" w:type="dxa"/>
            <w:tcBorders>
              <w:top w:val="single" w:sz="4" w:space="0" w:color="auto"/>
              <w:left w:val="nil"/>
              <w:bottom w:val="single" w:sz="4" w:space="0" w:color="auto"/>
              <w:right w:val="single" w:sz="4" w:space="0" w:color="auto"/>
            </w:tcBorders>
            <w:shd w:val="clear" w:color="auto" w:fill="auto"/>
            <w:vAlign w:val="bottom"/>
          </w:tcPr>
          <w:p w14:paraId="33F8FAED" w14:textId="77777777" w:rsidR="00AB4589" w:rsidRPr="006209AC" w:rsidRDefault="00AB4589" w:rsidP="00AB4589">
            <w:pPr>
              <w:spacing w:after="0"/>
              <w:jc w:val="right"/>
              <w:rPr>
                <w:rFonts w:cs="Arial"/>
                <w:sz w:val="22"/>
                <w:szCs w:val="22"/>
              </w:rPr>
            </w:pPr>
            <w:r w:rsidRPr="00003132">
              <w:rPr>
                <w:rFonts w:cs="Arial"/>
                <w:sz w:val="22"/>
                <w:szCs w:val="22"/>
              </w:rPr>
              <w:t>561.961</w:t>
            </w:r>
          </w:p>
        </w:tc>
        <w:tc>
          <w:tcPr>
            <w:tcW w:w="1654" w:type="dxa"/>
            <w:tcBorders>
              <w:top w:val="single" w:sz="4" w:space="0" w:color="auto"/>
              <w:left w:val="nil"/>
              <w:bottom w:val="single" w:sz="4" w:space="0" w:color="auto"/>
              <w:right w:val="single" w:sz="4" w:space="0" w:color="auto"/>
            </w:tcBorders>
            <w:vAlign w:val="center"/>
          </w:tcPr>
          <w:p w14:paraId="71BF1722" w14:textId="77777777" w:rsidR="00AB4589" w:rsidRDefault="00AB4589" w:rsidP="00AB4589">
            <w:pPr>
              <w:spacing w:after="0"/>
              <w:jc w:val="right"/>
              <w:rPr>
                <w:rFonts w:cs="Arial"/>
                <w:sz w:val="22"/>
                <w:szCs w:val="22"/>
              </w:rPr>
            </w:pPr>
          </w:p>
          <w:p w14:paraId="4AE766AA" w14:textId="77777777" w:rsidR="00AB4589" w:rsidRPr="00003132" w:rsidRDefault="00AB4589" w:rsidP="00AB4589">
            <w:pPr>
              <w:spacing w:after="0"/>
              <w:jc w:val="right"/>
              <w:rPr>
                <w:rFonts w:cs="Arial"/>
                <w:sz w:val="22"/>
                <w:szCs w:val="22"/>
              </w:rPr>
            </w:pPr>
            <w:r>
              <w:rPr>
                <w:rFonts w:cs="Arial"/>
                <w:sz w:val="22"/>
                <w:szCs w:val="22"/>
              </w:rPr>
              <w:t>582.887</w:t>
            </w:r>
          </w:p>
        </w:tc>
      </w:tr>
      <w:tr w:rsidR="0015230B" w14:paraId="006E5BA4" w14:textId="77777777" w:rsidTr="00AB4589">
        <w:trPr>
          <w:trHeight w:val="526"/>
          <w:jc w:val="center"/>
        </w:trPr>
        <w:tc>
          <w:tcPr>
            <w:tcW w:w="3828" w:type="dxa"/>
            <w:vAlign w:val="center"/>
            <w:hideMark/>
          </w:tcPr>
          <w:p w14:paraId="6B83D80A" w14:textId="77777777" w:rsidR="00AB4589" w:rsidRPr="008B6234" w:rsidRDefault="00AB4589" w:rsidP="00AB4589">
            <w:pPr>
              <w:jc w:val="left"/>
              <w:rPr>
                <w:rFonts w:eastAsiaTheme="minorHAnsi" w:cs="Arial"/>
                <w:color w:val="auto"/>
              </w:rPr>
            </w:pPr>
            <w:r w:rsidRPr="008B6234">
              <w:rPr>
                <w:rFonts w:eastAsiaTheme="minorHAnsi" w:cs="Arial"/>
                <w:color w:val="auto"/>
              </w:rPr>
              <w:t>Better Care Fund</w:t>
            </w:r>
          </w:p>
        </w:tc>
        <w:tc>
          <w:tcPr>
            <w:tcW w:w="1653" w:type="dxa"/>
            <w:tcBorders>
              <w:top w:val="single" w:sz="4" w:space="0" w:color="auto"/>
              <w:left w:val="nil"/>
              <w:bottom w:val="single" w:sz="4" w:space="0" w:color="auto"/>
              <w:right w:val="nil"/>
            </w:tcBorders>
            <w:shd w:val="clear" w:color="auto" w:fill="auto"/>
            <w:vAlign w:val="center"/>
          </w:tcPr>
          <w:p w14:paraId="3C03F464" w14:textId="77777777" w:rsidR="00AB4589" w:rsidRPr="006209AC" w:rsidRDefault="00AB4589" w:rsidP="00AB4589">
            <w:pPr>
              <w:spacing w:after="0"/>
              <w:jc w:val="right"/>
              <w:rPr>
                <w:rFonts w:cs="Arial"/>
                <w:sz w:val="22"/>
                <w:szCs w:val="22"/>
              </w:rPr>
            </w:pPr>
            <w:r w:rsidRPr="00003132">
              <w:rPr>
                <w:rFonts w:cs="Arial"/>
                <w:sz w:val="22"/>
                <w:szCs w:val="22"/>
              </w:rPr>
              <w:t>45.532</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7EC3646F" w14:textId="77777777" w:rsidR="00AB4589" w:rsidRPr="006209AC" w:rsidRDefault="00AB4589" w:rsidP="00AB4589">
            <w:pPr>
              <w:spacing w:after="0"/>
              <w:jc w:val="right"/>
              <w:rPr>
                <w:rFonts w:cs="Arial"/>
                <w:sz w:val="22"/>
                <w:szCs w:val="22"/>
              </w:rPr>
            </w:pPr>
            <w:r w:rsidRPr="00003132">
              <w:rPr>
                <w:rFonts w:cs="Arial"/>
                <w:sz w:val="22"/>
                <w:szCs w:val="22"/>
              </w:rPr>
              <w:t>45.532</w:t>
            </w:r>
          </w:p>
        </w:tc>
        <w:tc>
          <w:tcPr>
            <w:tcW w:w="1654" w:type="dxa"/>
            <w:tcBorders>
              <w:top w:val="single" w:sz="4" w:space="0" w:color="auto"/>
              <w:left w:val="nil"/>
              <w:bottom w:val="single" w:sz="4" w:space="0" w:color="auto"/>
              <w:right w:val="single" w:sz="4" w:space="0" w:color="auto"/>
            </w:tcBorders>
            <w:shd w:val="clear" w:color="auto" w:fill="auto"/>
            <w:vAlign w:val="center"/>
          </w:tcPr>
          <w:p w14:paraId="28F0FACD" w14:textId="77777777" w:rsidR="00AB4589" w:rsidRPr="006209AC" w:rsidRDefault="00AB4589" w:rsidP="00AB4589">
            <w:pPr>
              <w:spacing w:after="0"/>
              <w:jc w:val="right"/>
              <w:rPr>
                <w:rFonts w:cs="Arial"/>
                <w:sz w:val="22"/>
                <w:szCs w:val="22"/>
              </w:rPr>
            </w:pPr>
            <w:r w:rsidRPr="00003132">
              <w:rPr>
                <w:rFonts w:cs="Arial"/>
                <w:sz w:val="22"/>
                <w:szCs w:val="22"/>
              </w:rPr>
              <w:t>45.532</w:t>
            </w:r>
          </w:p>
        </w:tc>
        <w:tc>
          <w:tcPr>
            <w:tcW w:w="1654" w:type="dxa"/>
            <w:tcBorders>
              <w:top w:val="single" w:sz="4" w:space="0" w:color="auto"/>
              <w:left w:val="nil"/>
              <w:bottom w:val="single" w:sz="4" w:space="0" w:color="auto"/>
              <w:right w:val="single" w:sz="4" w:space="0" w:color="auto"/>
            </w:tcBorders>
            <w:vAlign w:val="center"/>
          </w:tcPr>
          <w:p w14:paraId="3FD24358" w14:textId="77777777" w:rsidR="00AB4589" w:rsidRPr="00003132" w:rsidRDefault="00AB4589" w:rsidP="00AB4589">
            <w:pPr>
              <w:spacing w:after="0"/>
              <w:jc w:val="right"/>
              <w:rPr>
                <w:rFonts w:cs="Arial"/>
                <w:sz w:val="22"/>
                <w:szCs w:val="22"/>
              </w:rPr>
            </w:pPr>
            <w:r>
              <w:rPr>
                <w:rFonts w:cs="Arial"/>
                <w:sz w:val="22"/>
                <w:szCs w:val="22"/>
              </w:rPr>
              <w:t>45.532</w:t>
            </w:r>
          </w:p>
        </w:tc>
      </w:tr>
      <w:tr w:rsidR="0015230B" w14:paraId="013BAEF0" w14:textId="77777777" w:rsidTr="00AB4589">
        <w:trPr>
          <w:trHeight w:val="526"/>
          <w:jc w:val="center"/>
        </w:trPr>
        <w:tc>
          <w:tcPr>
            <w:tcW w:w="3828" w:type="dxa"/>
            <w:vAlign w:val="center"/>
            <w:hideMark/>
          </w:tcPr>
          <w:p w14:paraId="24BE5FCC" w14:textId="77777777" w:rsidR="00AB4589" w:rsidRPr="008B6234" w:rsidRDefault="00AB4589" w:rsidP="00AB4589">
            <w:pPr>
              <w:rPr>
                <w:rFonts w:eastAsiaTheme="minorHAnsi" w:cs="Arial"/>
                <w:color w:val="auto"/>
              </w:rPr>
            </w:pPr>
            <w:r w:rsidRPr="008B6234">
              <w:rPr>
                <w:rFonts w:eastAsiaTheme="minorHAnsi" w:cs="Arial"/>
                <w:color w:val="auto"/>
              </w:rPr>
              <w:t>Social Care Grant</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bottom"/>
          </w:tcPr>
          <w:p w14:paraId="366DD7F3" w14:textId="77777777" w:rsidR="00AB4589" w:rsidRPr="006209AC" w:rsidRDefault="00AB4589" w:rsidP="00AB4589">
            <w:pPr>
              <w:spacing w:after="0"/>
              <w:jc w:val="right"/>
              <w:rPr>
                <w:rFonts w:cs="Arial"/>
                <w:sz w:val="22"/>
                <w:szCs w:val="22"/>
              </w:rPr>
            </w:pPr>
            <w:r w:rsidRPr="006209AC">
              <w:rPr>
                <w:rFonts w:cs="Arial"/>
                <w:sz w:val="22"/>
                <w:szCs w:val="22"/>
              </w:rPr>
              <w:t>33.417</w:t>
            </w:r>
          </w:p>
        </w:tc>
        <w:tc>
          <w:tcPr>
            <w:tcW w:w="1654" w:type="dxa"/>
            <w:tcBorders>
              <w:top w:val="single" w:sz="4" w:space="0" w:color="auto"/>
              <w:left w:val="nil"/>
              <w:bottom w:val="single" w:sz="4" w:space="0" w:color="auto"/>
              <w:right w:val="single" w:sz="4" w:space="0" w:color="auto"/>
            </w:tcBorders>
            <w:shd w:val="clear" w:color="auto" w:fill="auto"/>
            <w:vAlign w:val="bottom"/>
          </w:tcPr>
          <w:p w14:paraId="2F024528" w14:textId="77777777" w:rsidR="00AB4589" w:rsidRPr="006209AC" w:rsidRDefault="00AB4589" w:rsidP="00AB4589">
            <w:pPr>
              <w:spacing w:after="0"/>
              <w:jc w:val="right"/>
              <w:rPr>
                <w:rFonts w:cs="Arial"/>
                <w:sz w:val="22"/>
                <w:szCs w:val="22"/>
              </w:rPr>
            </w:pPr>
            <w:r w:rsidRPr="006209AC">
              <w:rPr>
                <w:rFonts w:cs="Arial"/>
                <w:sz w:val="22"/>
                <w:szCs w:val="22"/>
              </w:rPr>
              <w:t>33.417</w:t>
            </w:r>
          </w:p>
        </w:tc>
        <w:tc>
          <w:tcPr>
            <w:tcW w:w="1654" w:type="dxa"/>
            <w:tcBorders>
              <w:top w:val="single" w:sz="4" w:space="0" w:color="auto"/>
              <w:left w:val="nil"/>
              <w:bottom w:val="single" w:sz="4" w:space="0" w:color="auto"/>
              <w:right w:val="single" w:sz="4" w:space="0" w:color="auto"/>
            </w:tcBorders>
            <w:shd w:val="clear" w:color="auto" w:fill="auto"/>
            <w:vAlign w:val="bottom"/>
          </w:tcPr>
          <w:p w14:paraId="0523D06C" w14:textId="77777777" w:rsidR="00AB4589" w:rsidRPr="006209AC" w:rsidRDefault="00AB4589" w:rsidP="00AB4589">
            <w:pPr>
              <w:spacing w:after="0"/>
              <w:jc w:val="right"/>
              <w:rPr>
                <w:rFonts w:cs="Arial"/>
                <w:sz w:val="22"/>
                <w:szCs w:val="22"/>
              </w:rPr>
            </w:pPr>
            <w:r w:rsidRPr="006209AC">
              <w:rPr>
                <w:rFonts w:cs="Arial"/>
                <w:sz w:val="22"/>
                <w:szCs w:val="22"/>
              </w:rPr>
              <w:t>33.417</w:t>
            </w:r>
          </w:p>
        </w:tc>
        <w:tc>
          <w:tcPr>
            <w:tcW w:w="1654" w:type="dxa"/>
            <w:tcBorders>
              <w:top w:val="single" w:sz="4" w:space="0" w:color="auto"/>
              <w:left w:val="nil"/>
              <w:bottom w:val="single" w:sz="4" w:space="0" w:color="auto"/>
              <w:right w:val="single" w:sz="4" w:space="0" w:color="auto"/>
            </w:tcBorders>
            <w:vAlign w:val="center"/>
          </w:tcPr>
          <w:p w14:paraId="49FF7E40" w14:textId="77777777" w:rsidR="00AB4589" w:rsidRDefault="00AB4589" w:rsidP="00AB4589">
            <w:pPr>
              <w:spacing w:after="0"/>
              <w:jc w:val="right"/>
              <w:rPr>
                <w:rFonts w:cs="Arial"/>
                <w:sz w:val="22"/>
                <w:szCs w:val="22"/>
              </w:rPr>
            </w:pPr>
          </w:p>
          <w:p w14:paraId="699B2DDF" w14:textId="77777777" w:rsidR="00AB4589" w:rsidRPr="006209AC" w:rsidRDefault="00AB4589" w:rsidP="00AB4589">
            <w:pPr>
              <w:spacing w:after="0"/>
              <w:jc w:val="right"/>
              <w:rPr>
                <w:rFonts w:cs="Arial"/>
                <w:sz w:val="22"/>
                <w:szCs w:val="22"/>
              </w:rPr>
            </w:pPr>
            <w:r>
              <w:rPr>
                <w:rFonts w:cs="Arial"/>
                <w:sz w:val="22"/>
                <w:szCs w:val="22"/>
              </w:rPr>
              <w:t>33.417</w:t>
            </w:r>
          </w:p>
        </w:tc>
      </w:tr>
      <w:tr w:rsidR="0015230B" w14:paraId="00A12037" w14:textId="77777777" w:rsidTr="00AB4589">
        <w:trPr>
          <w:trHeight w:val="526"/>
          <w:jc w:val="center"/>
        </w:trPr>
        <w:tc>
          <w:tcPr>
            <w:tcW w:w="3828" w:type="dxa"/>
            <w:vAlign w:val="center"/>
            <w:hideMark/>
          </w:tcPr>
          <w:p w14:paraId="69B2E861" w14:textId="77777777" w:rsidR="00AB4589" w:rsidRPr="00CA4FF7" w:rsidRDefault="00AB4589" w:rsidP="00AB4589">
            <w:pPr>
              <w:rPr>
                <w:rFonts w:eastAsiaTheme="minorHAnsi" w:cs="Arial"/>
                <w:color w:val="auto"/>
              </w:rPr>
            </w:pPr>
            <w:r w:rsidRPr="00CA4FF7">
              <w:rPr>
                <w:rFonts w:eastAsiaTheme="minorHAnsi" w:cs="Arial"/>
                <w:color w:val="auto"/>
              </w:rPr>
              <w:t>Collection Fund Surplus</w:t>
            </w:r>
          </w:p>
        </w:tc>
        <w:tc>
          <w:tcPr>
            <w:tcW w:w="1653" w:type="dxa"/>
            <w:tcBorders>
              <w:top w:val="single" w:sz="4" w:space="0" w:color="auto"/>
              <w:left w:val="nil"/>
              <w:bottom w:val="nil"/>
              <w:right w:val="nil"/>
            </w:tcBorders>
            <w:shd w:val="clear" w:color="auto" w:fill="auto"/>
            <w:vAlign w:val="bottom"/>
          </w:tcPr>
          <w:p w14:paraId="0F89BE1D" w14:textId="77777777" w:rsidR="00AB4589" w:rsidRPr="006209AC" w:rsidRDefault="00AB4589" w:rsidP="00AB4589">
            <w:pPr>
              <w:spacing w:after="0"/>
              <w:jc w:val="right"/>
              <w:rPr>
                <w:rFonts w:cs="Arial"/>
                <w:sz w:val="22"/>
                <w:szCs w:val="22"/>
              </w:rPr>
            </w:pPr>
            <w:r w:rsidRPr="00003132">
              <w:rPr>
                <w:rFonts w:cs="Arial"/>
                <w:sz w:val="22"/>
                <w:szCs w:val="22"/>
              </w:rPr>
              <w:t>3.750</w:t>
            </w:r>
          </w:p>
        </w:tc>
        <w:tc>
          <w:tcPr>
            <w:tcW w:w="1654" w:type="dxa"/>
            <w:tcBorders>
              <w:top w:val="single" w:sz="4" w:space="0" w:color="auto"/>
              <w:left w:val="single" w:sz="4" w:space="0" w:color="auto"/>
              <w:bottom w:val="nil"/>
              <w:right w:val="single" w:sz="4" w:space="0" w:color="auto"/>
            </w:tcBorders>
            <w:shd w:val="clear" w:color="auto" w:fill="auto"/>
            <w:vAlign w:val="bottom"/>
          </w:tcPr>
          <w:p w14:paraId="324F1A8E" w14:textId="77777777" w:rsidR="00AB4589" w:rsidRPr="006209AC" w:rsidRDefault="00AB4589" w:rsidP="00AB4589">
            <w:pPr>
              <w:spacing w:after="0"/>
              <w:jc w:val="right"/>
              <w:rPr>
                <w:rFonts w:cs="Arial"/>
                <w:sz w:val="22"/>
                <w:szCs w:val="22"/>
              </w:rPr>
            </w:pPr>
            <w:r w:rsidRPr="00003132">
              <w:rPr>
                <w:rFonts w:cs="Arial"/>
                <w:sz w:val="22"/>
                <w:szCs w:val="22"/>
              </w:rPr>
              <w:t>3.750</w:t>
            </w:r>
          </w:p>
        </w:tc>
        <w:tc>
          <w:tcPr>
            <w:tcW w:w="1654" w:type="dxa"/>
            <w:tcBorders>
              <w:top w:val="single" w:sz="4" w:space="0" w:color="auto"/>
              <w:left w:val="nil"/>
              <w:bottom w:val="nil"/>
              <w:right w:val="single" w:sz="4" w:space="0" w:color="auto"/>
            </w:tcBorders>
            <w:shd w:val="clear" w:color="auto" w:fill="auto"/>
            <w:vAlign w:val="bottom"/>
          </w:tcPr>
          <w:p w14:paraId="1FBA8005" w14:textId="77777777" w:rsidR="00AB4589" w:rsidRPr="006209AC" w:rsidRDefault="00AB4589" w:rsidP="00AB4589">
            <w:pPr>
              <w:spacing w:after="0"/>
              <w:jc w:val="right"/>
              <w:rPr>
                <w:rFonts w:cs="Arial"/>
                <w:sz w:val="22"/>
                <w:szCs w:val="22"/>
              </w:rPr>
            </w:pPr>
            <w:r w:rsidRPr="00003132">
              <w:rPr>
                <w:rFonts w:cs="Arial"/>
                <w:sz w:val="22"/>
                <w:szCs w:val="22"/>
              </w:rPr>
              <w:t>3.750</w:t>
            </w:r>
          </w:p>
        </w:tc>
        <w:tc>
          <w:tcPr>
            <w:tcW w:w="1654" w:type="dxa"/>
            <w:tcBorders>
              <w:top w:val="single" w:sz="4" w:space="0" w:color="auto"/>
              <w:left w:val="nil"/>
              <w:bottom w:val="nil"/>
              <w:right w:val="single" w:sz="4" w:space="0" w:color="auto"/>
            </w:tcBorders>
            <w:vAlign w:val="center"/>
          </w:tcPr>
          <w:p w14:paraId="50CE0FC4" w14:textId="77777777" w:rsidR="00AB4589" w:rsidRDefault="00AB4589" w:rsidP="00AB4589">
            <w:pPr>
              <w:spacing w:after="0"/>
              <w:jc w:val="right"/>
              <w:rPr>
                <w:rFonts w:cs="Arial"/>
                <w:sz w:val="22"/>
                <w:szCs w:val="22"/>
              </w:rPr>
            </w:pPr>
          </w:p>
          <w:p w14:paraId="0C3FA4C7" w14:textId="77777777" w:rsidR="00AB4589" w:rsidRPr="00003132" w:rsidRDefault="00AB4589" w:rsidP="00AB4589">
            <w:pPr>
              <w:spacing w:after="0"/>
              <w:jc w:val="right"/>
              <w:rPr>
                <w:rFonts w:cs="Arial"/>
                <w:sz w:val="22"/>
                <w:szCs w:val="22"/>
              </w:rPr>
            </w:pPr>
            <w:r>
              <w:rPr>
                <w:rFonts w:cs="Arial"/>
                <w:sz w:val="22"/>
                <w:szCs w:val="22"/>
              </w:rPr>
              <w:t>3.750</w:t>
            </w:r>
          </w:p>
        </w:tc>
      </w:tr>
      <w:tr w:rsidR="0015230B" w14:paraId="3AFFE469" w14:textId="77777777" w:rsidTr="00AB4589">
        <w:trPr>
          <w:trHeight w:val="526"/>
          <w:jc w:val="center"/>
        </w:trPr>
        <w:tc>
          <w:tcPr>
            <w:tcW w:w="3828" w:type="dxa"/>
            <w:vAlign w:val="center"/>
          </w:tcPr>
          <w:p w14:paraId="405DA11E" w14:textId="77777777" w:rsidR="00AB4589" w:rsidRPr="00CA4FF7" w:rsidRDefault="00AB4589" w:rsidP="00AB4589">
            <w:pPr>
              <w:rPr>
                <w:rFonts w:eastAsiaTheme="minorHAnsi" w:cs="Arial"/>
                <w:color w:val="auto"/>
              </w:rPr>
            </w:pPr>
            <w:r>
              <w:rPr>
                <w:rFonts w:eastAsiaTheme="minorHAnsi" w:cs="Arial"/>
                <w:color w:val="auto"/>
              </w:rPr>
              <w:t>Family Safeguarding</w:t>
            </w:r>
          </w:p>
        </w:tc>
        <w:tc>
          <w:tcPr>
            <w:tcW w:w="1653" w:type="dxa"/>
            <w:tcBorders>
              <w:top w:val="single" w:sz="4" w:space="0" w:color="auto"/>
              <w:left w:val="nil"/>
              <w:bottom w:val="nil"/>
              <w:right w:val="nil"/>
            </w:tcBorders>
            <w:shd w:val="clear" w:color="auto" w:fill="auto"/>
            <w:vAlign w:val="bottom"/>
          </w:tcPr>
          <w:p w14:paraId="62FACC25" w14:textId="77777777" w:rsidR="00AB4589" w:rsidRPr="00003132" w:rsidRDefault="00AB4589" w:rsidP="00AB4589">
            <w:pPr>
              <w:spacing w:after="0"/>
              <w:jc w:val="right"/>
              <w:rPr>
                <w:rFonts w:cs="Arial"/>
                <w:sz w:val="22"/>
                <w:szCs w:val="22"/>
              </w:rPr>
            </w:pPr>
            <w:r w:rsidRPr="006209AC">
              <w:rPr>
                <w:rFonts w:cs="Arial"/>
                <w:sz w:val="22"/>
                <w:szCs w:val="22"/>
              </w:rPr>
              <w:t>2.501</w:t>
            </w:r>
          </w:p>
        </w:tc>
        <w:tc>
          <w:tcPr>
            <w:tcW w:w="1654" w:type="dxa"/>
            <w:tcBorders>
              <w:top w:val="single" w:sz="4" w:space="0" w:color="auto"/>
              <w:left w:val="single" w:sz="4" w:space="0" w:color="auto"/>
              <w:bottom w:val="nil"/>
              <w:right w:val="single" w:sz="4" w:space="0" w:color="auto"/>
            </w:tcBorders>
            <w:shd w:val="clear" w:color="auto" w:fill="auto"/>
            <w:vAlign w:val="bottom"/>
          </w:tcPr>
          <w:p w14:paraId="4A76A159" w14:textId="77777777" w:rsidR="00AB4589" w:rsidRPr="00003132" w:rsidRDefault="00AB4589" w:rsidP="00AB4589">
            <w:pPr>
              <w:spacing w:after="0"/>
              <w:jc w:val="right"/>
              <w:rPr>
                <w:rFonts w:cs="Arial"/>
                <w:sz w:val="22"/>
                <w:szCs w:val="22"/>
              </w:rPr>
            </w:pPr>
            <w:r w:rsidRPr="006209AC">
              <w:rPr>
                <w:rFonts w:cs="Arial"/>
                <w:sz w:val="22"/>
                <w:szCs w:val="22"/>
              </w:rPr>
              <w:t>1.951</w:t>
            </w:r>
          </w:p>
        </w:tc>
        <w:tc>
          <w:tcPr>
            <w:tcW w:w="1654" w:type="dxa"/>
            <w:tcBorders>
              <w:top w:val="single" w:sz="4" w:space="0" w:color="auto"/>
              <w:left w:val="nil"/>
              <w:bottom w:val="nil"/>
              <w:right w:val="single" w:sz="4" w:space="0" w:color="auto"/>
            </w:tcBorders>
            <w:shd w:val="clear" w:color="auto" w:fill="auto"/>
            <w:vAlign w:val="bottom"/>
          </w:tcPr>
          <w:p w14:paraId="4418C17A" w14:textId="77777777" w:rsidR="00AB4589" w:rsidRPr="00003132" w:rsidRDefault="00AB4589" w:rsidP="00AB4589">
            <w:pPr>
              <w:spacing w:after="0"/>
              <w:jc w:val="right"/>
              <w:rPr>
                <w:rFonts w:cs="Arial"/>
                <w:sz w:val="22"/>
                <w:szCs w:val="22"/>
              </w:rPr>
            </w:pPr>
            <w:r w:rsidRPr="006209AC">
              <w:rPr>
                <w:rFonts w:cs="Arial"/>
                <w:sz w:val="22"/>
                <w:szCs w:val="22"/>
              </w:rPr>
              <w:t>0.881</w:t>
            </w:r>
          </w:p>
        </w:tc>
        <w:tc>
          <w:tcPr>
            <w:tcW w:w="1654" w:type="dxa"/>
            <w:tcBorders>
              <w:top w:val="single" w:sz="4" w:space="0" w:color="auto"/>
              <w:left w:val="nil"/>
              <w:bottom w:val="nil"/>
              <w:right w:val="single" w:sz="4" w:space="0" w:color="auto"/>
            </w:tcBorders>
            <w:vAlign w:val="center"/>
          </w:tcPr>
          <w:p w14:paraId="04C33F9D" w14:textId="77777777" w:rsidR="00AB4589" w:rsidRDefault="00AB4589" w:rsidP="00AB4589">
            <w:pPr>
              <w:spacing w:after="0"/>
              <w:jc w:val="right"/>
              <w:rPr>
                <w:rFonts w:cs="Arial"/>
                <w:sz w:val="22"/>
                <w:szCs w:val="22"/>
              </w:rPr>
            </w:pPr>
          </w:p>
          <w:p w14:paraId="516C18CA" w14:textId="77777777" w:rsidR="00AB4589" w:rsidRPr="006209AC" w:rsidRDefault="00AB4589" w:rsidP="00AB4589">
            <w:pPr>
              <w:spacing w:after="0"/>
              <w:jc w:val="right"/>
              <w:rPr>
                <w:rFonts w:cs="Arial"/>
                <w:sz w:val="22"/>
                <w:szCs w:val="22"/>
              </w:rPr>
            </w:pPr>
            <w:r>
              <w:rPr>
                <w:rFonts w:cs="Arial"/>
                <w:sz w:val="22"/>
                <w:szCs w:val="22"/>
              </w:rPr>
              <w:t>0.000</w:t>
            </w:r>
          </w:p>
        </w:tc>
      </w:tr>
      <w:tr w:rsidR="0015230B" w14:paraId="288E7800" w14:textId="77777777" w:rsidTr="00AB4589">
        <w:trPr>
          <w:trHeight w:val="552"/>
          <w:jc w:val="center"/>
        </w:trPr>
        <w:tc>
          <w:tcPr>
            <w:tcW w:w="3828" w:type="dxa"/>
            <w:shd w:val="clear" w:color="auto" w:fill="BFBFBF" w:themeFill="background1" w:themeFillShade="BF"/>
            <w:vAlign w:val="center"/>
          </w:tcPr>
          <w:p w14:paraId="05EA609F" w14:textId="77777777" w:rsidR="00AB4589" w:rsidRPr="00194B74" w:rsidRDefault="00AB4589" w:rsidP="00AB4589">
            <w:pPr>
              <w:spacing w:after="0"/>
              <w:rPr>
                <w:rFonts w:eastAsiaTheme="minorHAnsi" w:cs="Arial"/>
                <w:b/>
              </w:rPr>
            </w:pPr>
            <w:r w:rsidRPr="00194B74">
              <w:rPr>
                <w:rFonts w:eastAsiaTheme="minorHAnsi" w:cs="Arial"/>
                <w:b/>
              </w:rPr>
              <w:t>Total</w:t>
            </w:r>
          </w:p>
        </w:tc>
        <w:tc>
          <w:tcPr>
            <w:tcW w:w="1653" w:type="dxa"/>
            <w:shd w:val="clear" w:color="auto" w:fill="BFBFBF" w:themeFill="background1" w:themeFillShade="BF"/>
            <w:vAlign w:val="center"/>
          </w:tcPr>
          <w:p w14:paraId="0B896A63" w14:textId="77777777" w:rsidR="00AB4589" w:rsidRPr="00003132" w:rsidRDefault="00AB4589" w:rsidP="00AB4589">
            <w:pPr>
              <w:spacing w:after="0"/>
              <w:jc w:val="right"/>
              <w:rPr>
                <w:rFonts w:cs="Arial"/>
                <w:b/>
                <w:sz w:val="22"/>
                <w:szCs w:val="22"/>
              </w:rPr>
            </w:pPr>
            <w:r>
              <w:rPr>
                <w:rFonts w:cs="Arial"/>
                <w:b/>
                <w:bCs/>
                <w:sz w:val="22"/>
                <w:szCs w:val="22"/>
              </w:rPr>
              <w:t>842.190</w:t>
            </w:r>
          </w:p>
        </w:tc>
        <w:tc>
          <w:tcPr>
            <w:tcW w:w="1654" w:type="dxa"/>
            <w:shd w:val="clear" w:color="auto" w:fill="BFBFBF" w:themeFill="background1" w:themeFillShade="BF"/>
            <w:vAlign w:val="center"/>
          </w:tcPr>
          <w:p w14:paraId="31C31B67" w14:textId="77777777" w:rsidR="00AB4589" w:rsidRPr="00003132" w:rsidRDefault="00AB4589" w:rsidP="00AB4589">
            <w:pPr>
              <w:spacing w:after="0"/>
              <w:jc w:val="right"/>
              <w:rPr>
                <w:rFonts w:cs="Arial"/>
                <w:b/>
                <w:sz w:val="22"/>
                <w:szCs w:val="22"/>
              </w:rPr>
            </w:pPr>
            <w:r>
              <w:rPr>
                <w:rFonts w:cs="Arial"/>
                <w:b/>
                <w:bCs/>
                <w:sz w:val="22"/>
                <w:szCs w:val="22"/>
              </w:rPr>
              <w:t>868.476</w:t>
            </w:r>
          </w:p>
        </w:tc>
        <w:tc>
          <w:tcPr>
            <w:tcW w:w="1654" w:type="dxa"/>
            <w:shd w:val="clear" w:color="auto" w:fill="BFBFBF" w:themeFill="background1" w:themeFillShade="BF"/>
            <w:vAlign w:val="center"/>
          </w:tcPr>
          <w:p w14:paraId="24FF042E" w14:textId="77777777" w:rsidR="00AB4589" w:rsidRPr="00003132" w:rsidRDefault="00AB4589" w:rsidP="00AB4589">
            <w:pPr>
              <w:spacing w:after="0"/>
              <w:jc w:val="right"/>
              <w:rPr>
                <w:rFonts w:cs="Arial"/>
                <w:b/>
                <w:sz w:val="22"/>
                <w:szCs w:val="22"/>
              </w:rPr>
            </w:pPr>
            <w:r>
              <w:rPr>
                <w:rFonts w:cs="Arial"/>
                <w:b/>
                <w:bCs/>
                <w:sz w:val="22"/>
                <w:szCs w:val="22"/>
              </w:rPr>
              <w:t>889.200</w:t>
            </w:r>
          </w:p>
        </w:tc>
        <w:tc>
          <w:tcPr>
            <w:tcW w:w="1654" w:type="dxa"/>
            <w:shd w:val="clear" w:color="auto" w:fill="BFBFBF" w:themeFill="background1" w:themeFillShade="BF"/>
            <w:vAlign w:val="center"/>
          </w:tcPr>
          <w:p w14:paraId="6650104E" w14:textId="77777777" w:rsidR="00AB4589" w:rsidRDefault="00AB4589" w:rsidP="00AB4589">
            <w:pPr>
              <w:spacing w:after="0"/>
              <w:jc w:val="right"/>
              <w:rPr>
                <w:rFonts w:cs="Arial"/>
                <w:b/>
                <w:bCs/>
                <w:sz w:val="22"/>
                <w:szCs w:val="22"/>
              </w:rPr>
            </w:pPr>
            <w:r>
              <w:rPr>
                <w:rFonts w:cs="Arial"/>
                <w:b/>
                <w:bCs/>
                <w:sz w:val="22"/>
                <w:szCs w:val="22"/>
              </w:rPr>
              <w:t>910.059</w:t>
            </w:r>
          </w:p>
        </w:tc>
      </w:tr>
      <w:tr w:rsidR="0015230B" w14:paraId="5DEE7451" w14:textId="77777777" w:rsidTr="00AB4589">
        <w:trPr>
          <w:trHeight w:val="379"/>
          <w:jc w:val="center"/>
        </w:trPr>
        <w:tc>
          <w:tcPr>
            <w:tcW w:w="3828" w:type="dxa"/>
            <w:shd w:val="clear" w:color="auto" w:fill="auto"/>
            <w:vAlign w:val="center"/>
          </w:tcPr>
          <w:p w14:paraId="7C9E4E8B" w14:textId="77777777" w:rsidR="00AB4589" w:rsidRPr="00813473" w:rsidRDefault="00AB4589" w:rsidP="00AB4589">
            <w:pPr>
              <w:rPr>
                <w:rFonts w:eastAsiaTheme="minorHAnsi" w:cs="Arial"/>
                <w:b/>
                <w:highlight w:val="yellow"/>
              </w:rPr>
            </w:pPr>
          </w:p>
        </w:tc>
        <w:tc>
          <w:tcPr>
            <w:tcW w:w="1653" w:type="dxa"/>
            <w:shd w:val="clear" w:color="auto" w:fill="auto"/>
            <w:vAlign w:val="bottom"/>
          </w:tcPr>
          <w:p w14:paraId="603833B0" w14:textId="77777777" w:rsidR="00AB4589" w:rsidRPr="00813473" w:rsidRDefault="00AB4589" w:rsidP="00AB4589">
            <w:pPr>
              <w:jc w:val="right"/>
              <w:rPr>
                <w:rFonts w:cs="Arial"/>
                <w:b/>
                <w:highlight w:val="yellow"/>
              </w:rPr>
            </w:pPr>
          </w:p>
        </w:tc>
        <w:tc>
          <w:tcPr>
            <w:tcW w:w="1654" w:type="dxa"/>
            <w:shd w:val="clear" w:color="auto" w:fill="auto"/>
            <w:vAlign w:val="bottom"/>
          </w:tcPr>
          <w:p w14:paraId="6723D741" w14:textId="77777777" w:rsidR="00AB4589" w:rsidRPr="00813473" w:rsidRDefault="00AB4589" w:rsidP="00AB4589">
            <w:pPr>
              <w:jc w:val="right"/>
              <w:rPr>
                <w:rFonts w:cs="Arial"/>
                <w:b/>
                <w:highlight w:val="yellow"/>
              </w:rPr>
            </w:pPr>
          </w:p>
        </w:tc>
        <w:tc>
          <w:tcPr>
            <w:tcW w:w="1654" w:type="dxa"/>
            <w:shd w:val="clear" w:color="auto" w:fill="auto"/>
            <w:vAlign w:val="bottom"/>
          </w:tcPr>
          <w:p w14:paraId="6505BD2A" w14:textId="77777777" w:rsidR="00AB4589" w:rsidRPr="00813473" w:rsidRDefault="00AB4589" w:rsidP="00AB4589">
            <w:pPr>
              <w:jc w:val="right"/>
              <w:rPr>
                <w:rFonts w:cs="Arial"/>
                <w:b/>
                <w:highlight w:val="yellow"/>
              </w:rPr>
            </w:pPr>
          </w:p>
        </w:tc>
        <w:tc>
          <w:tcPr>
            <w:tcW w:w="1654" w:type="dxa"/>
            <w:vAlign w:val="center"/>
          </w:tcPr>
          <w:p w14:paraId="2836EB52" w14:textId="77777777" w:rsidR="00AB4589" w:rsidRPr="00813473" w:rsidRDefault="00AB4589" w:rsidP="00AB4589">
            <w:pPr>
              <w:jc w:val="right"/>
              <w:rPr>
                <w:rFonts w:cs="Arial"/>
                <w:b/>
                <w:highlight w:val="yellow"/>
              </w:rPr>
            </w:pPr>
          </w:p>
        </w:tc>
      </w:tr>
      <w:tr w:rsidR="0015230B" w14:paraId="792208AD" w14:textId="77777777" w:rsidTr="00AB4589">
        <w:trPr>
          <w:trHeight w:val="552"/>
          <w:jc w:val="center"/>
        </w:trPr>
        <w:tc>
          <w:tcPr>
            <w:tcW w:w="3828" w:type="dxa"/>
            <w:shd w:val="clear" w:color="auto" w:fill="auto"/>
            <w:vAlign w:val="center"/>
          </w:tcPr>
          <w:p w14:paraId="1FF124DD" w14:textId="7CF34372" w:rsidR="00AB4589" w:rsidRPr="00194B74" w:rsidRDefault="000D69B3" w:rsidP="00AB4589">
            <w:pPr>
              <w:jc w:val="left"/>
              <w:rPr>
                <w:rFonts w:eastAsiaTheme="minorHAnsi" w:cs="Arial"/>
                <w:b/>
              </w:rPr>
            </w:pPr>
            <w:r w:rsidRPr="000D69B3">
              <w:rPr>
                <w:rFonts w:eastAsiaTheme="minorHAnsi" w:cs="Arial"/>
                <w:b/>
              </w:rPr>
              <w:t>Funding assumed - previous MTFS</w:t>
            </w:r>
          </w:p>
        </w:tc>
        <w:tc>
          <w:tcPr>
            <w:tcW w:w="1653" w:type="dxa"/>
            <w:shd w:val="clear" w:color="auto" w:fill="auto"/>
            <w:vAlign w:val="center"/>
          </w:tcPr>
          <w:p w14:paraId="011FF92C" w14:textId="77777777" w:rsidR="00AB4589" w:rsidRPr="00194B74" w:rsidRDefault="00AB4589" w:rsidP="00AB4589">
            <w:pPr>
              <w:jc w:val="right"/>
              <w:rPr>
                <w:rFonts w:cs="Arial"/>
                <w:b/>
              </w:rPr>
            </w:pPr>
            <w:r w:rsidRPr="00194B74">
              <w:rPr>
                <w:rFonts w:cs="Arial"/>
                <w:b/>
              </w:rPr>
              <w:t>817.061</w:t>
            </w:r>
          </w:p>
        </w:tc>
        <w:tc>
          <w:tcPr>
            <w:tcW w:w="1654" w:type="dxa"/>
            <w:shd w:val="clear" w:color="auto" w:fill="auto"/>
            <w:vAlign w:val="center"/>
          </w:tcPr>
          <w:p w14:paraId="42A6BA04" w14:textId="77777777" w:rsidR="00AB4589" w:rsidRPr="00194B74" w:rsidRDefault="00AB4589" w:rsidP="00AB4589">
            <w:pPr>
              <w:jc w:val="right"/>
              <w:rPr>
                <w:rFonts w:cs="Arial"/>
                <w:b/>
              </w:rPr>
            </w:pPr>
            <w:r w:rsidRPr="00194B74">
              <w:rPr>
                <w:rFonts w:cs="Arial"/>
                <w:b/>
              </w:rPr>
              <w:t>802.558</w:t>
            </w:r>
          </w:p>
        </w:tc>
        <w:tc>
          <w:tcPr>
            <w:tcW w:w="1654" w:type="dxa"/>
            <w:shd w:val="clear" w:color="auto" w:fill="auto"/>
            <w:vAlign w:val="center"/>
          </w:tcPr>
          <w:p w14:paraId="113B0BAA" w14:textId="77777777" w:rsidR="00AB4589" w:rsidRPr="00194B74" w:rsidRDefault="00AB4589" w:rsidP="00AB4589">
            <w:pPr>
              <w:jc w:val="right"/>
              <w:rPr>
                <w:rFonts w:cs="Arial"/>
                <w:b/>
              </w:rPr>
            </w:pPr>
            <w:r w:rsidRPr="00194B74">
              <w:rPr>
                <w:rFonts w:cs="Arial"/>
                <w:b/>
              </w:rPr>
              <w:t>823.065</w:t>
            </w:r>
          </w:p>
        </w:tc>
        <w:tc>
          <w:tcPr>
            <w:tcW w:w="1654" w:type="dxa"/>
            <w:vAlign w:val="center"/>
          </w:tcPr>
          <w:p w14:paraId="213B4064" w14:textId="77777777" w:rsidR="00AB4589" w:rsidRPr="00194B74" w:rsidRDefault="00AB4589" w:rsidP="00AB4589">
            <w:pPr>
              <w:jc w:val="right"/>
              <w:rPr>
                <w:rFonts w:cs="Arial"/>
                <w:b/>
              </w:rPr>
            </w:pPr>
            <w:r>
              <w:rPr>
                <w:rFonts w:cs="Arial"/>
                <w:b/>
              </w:rPr>
              <w:t>0.000</w:t>
            </w:r>
          </w:p>
        </w:tc>
      </w:tr>
      <w:tr w:rsidR="0015230B" w14:paraId="59B88929" w14:textId="77777777" w:rsidTr="00AB4589">
        <w:trPr>
          <w:trHeight w:val="552"/>
          <w:jc w:val="center"/>
        </w:trPr>
        <w:tc>
          <w:tcPr>
            <w:tcW w:w="3828" w:type="dxa"/>
            <w:shd w:val="clear" w:color="auto" w:fill="BFBFBF" w:themeFill="background1" w:themeFillShade="BF"/>
            <w:vAlign w:val="center"/>
          </w:tcPr>
          <w:p w14:paraId="29B3D893" w14:textId="77777777" w:rsidR="00AB4589" w:rsidRPr="00194B74" w:rsidRDefault="00AB4589" w:rsidP="00AB4589">
            <w:pPr>
              <w:jc w:val="left"/>
              <w:rPr>
                <w:rFonts w:eastAsiaTheme="minorHAnsi" w:cs="Arial"/>
                <w:b/>
              </w:rPr>
            </w:pPr>
            <w:r w:rsidRPr="00194B74">
              <w:rPr>
                <w:rFonts w:eastAsiaTheme="minorHAnsi" w:cs="Arial"/>
                <w:b/>
              </w:rPr>
              <w:t>Variance</w:t>
            </w:r>
          </w:p>
        </w:tc>
        <w:tc>
          <w:tcPr>
            <w:tcW w:w="1653" w:type="dxa"/>
            <w:shd w:val="clear" w:color="auto" w:fill="BFBFBF" w:themeFill="background1" w:themeFillShade="BF"/>
            <w:vAlign w:val="center"/>
          </w:tcPr>
          <w:p w14:paraId="73883F77" w14:textId="77777777" w:rsidR="00AB4589" w:rsidRPr="00194B74" w:rsidRDefault="00AB4589" w:rsidP="00AB4589">
            <w:pPr>
              <w:jc w:val="right"/>
              <w:rPr>
                <w:rFonts w:cs="Arial"/>
                <w:b/>
              </w:rPr>
            </w:pPr>
            <w:r>
              <w:rPr>
                <w:rFonts w:cs="Arial"/>
                <w:b/>
                <w:bCs/>
              </w:rPr>
              <w:t>25.129</w:t>
            </w:r>
          </w:p>
        </w:tc>
        <w:tc>
          <w:tcPr>
            <w:tcW w:w="1654" w:type="dxa"/>
            <w:shd w:val="clear" w:color="auto" w:fill="BFBFBF" w:themeFill="background1" w:themeFillShade="BF"/>
            <w:vAlign w:val="center"/>
          </w:tcPr>
          <w:p w14:paraId="4CF79DAF" w14:textId="77777777" w:rsidR="00AB4589" w:rsidRPr="00194B74" w:rsidRDefault="00AB4589" w:rsidP="00AB4589">
            <w:pPr>
              <w:jc w:val="right"/>
              <w:rPr>
                <w:rFonts w:cs="Arial"/>
                <w:b/>
              </w:rPr>
            </w:pPr>
            <w:r>
              <w:rPr>
                <w:rFonts w:cs="Arial"/>
                <w:b/>
                <w:bCs/>
              </w:rPr>
              <w:t>65.918</w:t>
            </w:r>
          </w:p>
        </w:tc>
        <w:tc>
          <w:tcPr>
            <w:tcW w:w="1654" w:type="dxa"/>
            <w:shd w:val="clear" w:color="auto" w:fill="BFBFBF" w:themeFill="background1" w:themeFillShade="BF"/>
            <w:vAlign w:val="center"/>
          </w:tcPr>
          <w:p w14:paraId="52691A50" w14:textId="77777777" w:rsidR="00AB4589" w:rsidRPr="00194B74" w:rsidRDefault="00AB4589" w:rsidP="00AB4589">
            <w:pPr>
              <w:jc w:val="right"/>
              <w:rPr>
                <w:rFonts w:cs="Arial"/>
                <w:b/>
              </w:rPr>
            </w:pPr>
            <w:r>
              <w:rPr>
                <w:rFonts w:cs="Arial"/>
                <w:b/>
                <w:bCs/>
              </w:rPr>
              <w:t>66.135</w:t>
            </w:r>
          </w:p>
        </w:tc>
        <w:tc>
          <w:tcPr>
            <w:tcW w:w="1654" w:type="dxa"/>
            <w:shd w:val="clear" w:color="auto" w:fill="BFBFBF" w:themeFill="background1" w:themeFillShade="BF"/>
            <w:vAlign w:val="center"/>
          </w:tcPr>
          <w:p w14:paraId="252363CE" w14:textId="77777777" w:rsidR="00AB4589" w:rsidRDefault="00AB4589" w:rsidP="00AB4589">
            <w:pPr>
              <w:jc w:val="right"/>
              <w:rPr>
                <w:rFonts w:cs="Arial"/>
                <w:b/>
                <w:bCs/>
              </w:rPr>
            </w:pPr>
            <w:r>
              <w:rPr>
                <w:rFonts w:cs="Arial"/>
                <w:b/>
                <w:bCs/>
              </w:rPr>
              <w:t>910.059</w:t>
            </w:r>
          </w:p>
        </w:tc>
      </w:tr>
    </w:tbl>
    <w:p w14:paraId="0A53C720" w14:textId="77777777" w:rsidR="00AB4589" w:rsidRPr="00D93EF7" w:rsidRDefault="00AB4589" w:rsidP="00AB4589">
      <w:pPr>
        <w:spacing w:after="0"/>
        <w:rPr>
          <w:b/>
        </w:rPr>
      </w:pPr>
    </w:p>
    <w:p w14:paraId="4B0AD44A" w14:textId="76F53C9A" w:rsidR="00AB4589" w:rsidRPr="00D93EF7" w:rsidRDefault="00AB4589" w:rsidP="00AB4589">
      <w:pPr>
        <w:spacing w:after="0"/>
        <w:rPr>
          <w:b/>
        </w:rPr>
      </w:pPr>
      <w:r w:rsidRPr="000032A2">
        <w:rPr>
          <w:rFonts w:cs="Arial"/>
        </w:rPr>
        <w:lastRenderedPageBreak/>
        <w:t>The table above reflects</w:t>
      </w:r>
      <w:r>
        <w:rPr>
          <w:rFonts w:cs="Arial"/>
        </w:rPr>
        <w:t xml:space="preserve"> a forecast</w:t>
      </w:r>
      <w:r w:rsidRPr="000032A2">
        <w:rPr>
          <w:rFonts w:cs="Arial"/>
        </w:rPr>
        <w:t xml:space="preserve"> reduction in </w:t>
      </w:r>
      <w:r>
        <w:rPr>
          <w:rFonts w:cs="Arial"/>
        </w:rPr>
        <w:t>n</w:t>
      </w:r>
      <w:r w:rsidRPr="000032A2">
        <w:rPr>
          <w:rFonts w:cs="Arial"/>
        </w:rPr>
        <w:t xml:space="preserve">ew </w:t>
      </w:r>
      <w:r>
        <w:rPr>
          <w:rFonts w:cs="Arial"/>
        </w:rPr>
        <w:t>h</w:t>
      </w:r>
      <w:r w:rsidRPr="000032A2">
        <w:rPr>
          <w:rFonts w:cs="Arial"/>
        </w:rPr>
        <w:t xml:space="preserve">omes </w:t>
      </w:r>
      <w:r>
        <w:rPr>
          <w:rFonts w:cs="Arial"/>
        </w:rPr>
        <w:t>b</w:t>
      </w:r>
      <w:r w:rsidRPr="000032A2">
        <w:rPr>
          <w:rFonts w:cs="Arial"/>
        </w:rPr>
        <w:t>onus and the inclusion of one off funding of £6.3</w:t>
      </w:r>
      <w:r>
        <w:rPr>
          <w:rFonts w:cs="Arial"/>
        </w:rPr>
        <w:t>00</w:t>
      </w:r>
      <w:r w:rsidRPr="000032A2">
        <w:rPr>
          <w:rFonts w:cs="Arial"/>
        </w:rPr>
        <w:t xml:space="preserve">m over the course of 3 years from the </w:t>
      </w:r>
      <w:r w:rsidR="00C61025">
        <w:rPr>
          <w:rFonts w:cs="Arial"/>
        </w:rPr>
        <w:t>D</w:t>
      </w:r>
      <w:r w:rsidRPr="000032A2">
        <w:rPr>
          <w:rFonts w:cs="Arial"/>
        </w:rPr>
        <w:t xml:space="preserve">epartment </w:t>
      </w:r>
      <w:r w:rsidR="00C61025">
        <w:rPr>
          <w:rFonts w:cs="Arial"/>
        </w:rPr>
        <w:t>f</w:t>
      </w:r>
      <w:r w:rsidRPr="000032A2">
        <w:rPr>
          <w:rFonts w:cs="Arial"/>
        </w:rPr>
        <w:t xml:space="preserve">or </w:t>
      </w:r>
      <w:r w:rsidR="00C61025">
        <w:rPr>
          <w:rFonts w:cs="Arial"/>
        </w:rPr>
        <w:t>E</w:t>
      </w:r>
      <w:r w:rsidRPr="000032A2">
        <w:rPr>
          <w:rFonts w:cs="Arial"/>
        </w:rPr>
        <w:t xml:space="preserve">ducation to establish the Lancashire </w:t>
      </w:r>
      <w:r>
        <w:rPr>
          <w:rFonts w:cs="Arial"/>
        </w:rPr>
        <w:t>f</w:t>
      </w:r>
      <w:r w:rsidRPr="000032A2">
        <w:rPr>
          <w:rFonts w:cs="Arial"/>
        </w:rPr>
        <w:t xml:space="preserve">amily </w:t>
      </w:r>
      <w:r>
        <w:rPr>
          <w:rFonts w:cs="Arial"/>
        </w:rPr>
        <w:t>s</w:t>
      </w:r>
      <w:r w:rsidRPr="000032A2">
        <w:rPr>
          <w:rFonts w:cs="Arial"/>
        </w:rPr>
        <w:t>afeguarding model. The adoption of this model is forecast to deliver net recurrent savings of £</w:t>
      </w:r>
      <w:r>
        <w:rPr>
          <w:rFonts w:cs="Arial"/>
        </w:rPr>
        <w:t>6.812</w:t>
      </w:r>
      <w:r w:rsidRPr="000032A2">
        <w:rPr>
          <w:rFonts w:cs="Arial"/>
        </w:rPr>
        <w:t>m by the end of this forecast</w:t>
      </w:r>
      <w:r>
        <w:rPr>
          <w:rFonts w:cs="Arial"/>
        </w:rPr>
        <w:t xml:space="preserve"> with circa £3.200m of additional recurrent savings to be delivered by 2025/26.</w:t>
      </w:r>
    </w:p>
    <w:p w14:paraId="797F0787" w14:textId="77777777" w:rsidR="00AB4589" w:rsidRPr="00D93EF7" w:rsidRDefault="00AB4589" w:rsidP="00AB4589">
      <w:pPr>
        <w:spacing w:after="0"/>
        <w:rPr>
          <w:b/>
        </w:rPr>
      </w:pPr>
    </w:p>
    <w:p w14:paraId="1950AE6C" w14:textId="77777777" w:rsidR="00AB4589" w:rsidRPr="000032A2" w:rsidRDefault="00AB4589" w:rsidP="00AB4589">
      <w:pPr>
        <w:spacing w:after="0"/>
        <w:rPr>
          <w:rFonts w:cs="Arial"/>
          <w:b/>
        </w:rPr>
      </w:pPr>
      <w:r w:rsidRPr="000032A2">
        <w:rPr>
          <w:rFonts w:cs="Arial"/>
          <w:b/>
        </w:rPr>
        <w:t xml:space="preserve">2.1 Council </w:t>
      </w:r>
      <w:r>
        <w:rPr>
          <w:rFonts w:cs="Arial"/>
          <w:b/>
        </w:rPr>
        <w:t>t</w:t>
      </w:r>
      <w:r w:rsidRPr="000032A2">
        <w:rPr>
          <w:rFonts w:cs="Arial"/>
          <w:b/>
        </w:rPr>
        <w:t xml:space="preserve">ax and </w:t>
      </w:r>
      <w:r>
        <w:rPr>
          <w:rFonts w:cs="Arial"/>
          <w:b/>
        </w:rPr>
        <w:t>b</w:t>
      </w:r>
      <w:r w:rsidRPr="000032A2">
        <w:rPr>
          <w:rFonts w:cs="Arial"/>
          <w:b/>
        </w:rPr>
        <w:t xml:space="preserve">usiness </w:t>
      </w:r>
      <w:r>
        <w:rPr>
          <w:rFonts w:cs="Arial"/>
          <w:b/>
        </w:rPr>
        <w:t>r</w:t>
      </w:r>
      <w:r w:rsidRPr="000032A2">
        <w:rPr>
          <w:rFonts w:cs="Arial"/>
          <w:b/>
        </w:rPr>
        <w:t xml:space="preserve">ates </w:t>
      </w:r>
    </w:p>
    <w:p w14:paraId="474019C2" w14:textId="77777777" w:rsidR="00AB4589" w:rsidRPr="000032A2" w:rsidRDefault="00AB4589" w:rsidP="00AB4589">
      <w:pPr>
        <w:spacing w:after="0"/>
        <w:rPr>
          <w:rFonts w:cs="Arial"/>
        </w:rPr>
      </w:pPr>
    </w:p>
    <w:p w14:paraId="01290DFC" w14:textId="77777777" w:rsidR="00AB4589" w:rsidRPr="000032A2" w:rsidRDefault="00AB4589" w:rsidP="00AB4589">
      <w:pPr>
        <w:spacing w:after="0"/>
        <w:rPr>
          <w:rFonts w:cs="Arial"/>
          <w:b/>
          <w:i/>
        </w:rPr>
      </w:pPr>
      <w:r w:rsidRPr="000032A2">
        <w:rPr>
          <w:rFonts w:cs="Arial"/>
          <w:b/>
          <w:i/>
        </w:rPr>
        <w:t xml:space="preserve">Council </w:t>
      </w:r>
      <w:r>
        <w:rPr>
          <w:rFonts w:cs="Arial"/>
          <w:b/>
          <w:i/>
        </w:rPr>
        <w:t>t</w:t>
      </w:r>
      <w:r w:rsidRPr="000032A2">
        <w:rPr>
          <w:rFonts w:cs="Arial"/>
          <w:b/>
          <w:i/>
        </w:rPr>
        <w:t>ax</w:t>
      </w:r>
    </w:p>
    <w:p w14:paraId="1F0A1C3E" w14:textId="77777777" w:rsidR="00AB4589" w:rsidRPr="000032A2" w:rsidRDefault="00AB4589" w:rsidP="00AB4589">
      <w:pPr>
        <w:spacing w:after="0"/>
        <w:rPr>
          <w:rFonts w:cs="Arial"/>
          <w:b/>
          <w:i/>
        </w:rPr>
      </w:pPr>
    </w:p>
    <w:p w14:paraId="61EA49FE" w14:textId="77777777" w:rsidR="00AB4589" w:rsidRPr="000032A2" w:rsidRDefault="00AB4589" w:rsidP="00AB4589">
      <w:pPr>
        <w:spacing w:after="0"/>
        <w:rPr>
          <w:rFonts w:cs="Arial"/>
        </w:rPr>
      </w:pPr>
      <w:r w:rsidRPr="000032A2">
        <w:rPr>
          <w:rFonts w:cs="Arial"/>
        </w:rPr>
        <w:t xml:space="preserve">The MTFS currently reflects the following assumptions in relation to the county council's council tax increases as previously reported to cabinet, however this is a decision for full council to make each year when setting the budget.  </w:t>
      </w:r>
    </w:p>
    <w:p w14:paraId="742587F3" w14:textId="77777777" w:rsidR="00AB4589" w:rsidRDefault="00AB4589" w:rsidP="00AB4589">
      <w:pPr>
        <w:spacing w:after="0"/>
        <w:rPr>
          <w:rFonts w:cs="Arial"/>
          <w:b/>
          <w:i/>
          <w:u w:val="single"/>
        </w:rPr>
      </w:pPr>
    </w:p>
    <w:p w14:paraId="5EDD625F" w14:textId="77777777" w:rsidR="00AB4589" w:rsidRPr="000032A2" w:rsidRDefault="00AB4589" w:rsidP="00AB4589">
      <w:pPr>
        <w:spacing w:after="0"/>
        <w:rPr>
          <w:rFonts w:cs="Arial"/>
          <w:b/>
          <w:i/>
          <w:u w:val="single"/>
        </w:rPr>
      </w:pPr>
      <w:r w:rsidRPr="000032A2">
        <w:rPr>
          <w:rFonts w:cs="Arial"/>
          <w:b/>
          <w:i/>
          <w:u w:val="single"/>
        </w:rPr>
        <w:t>Table 3</w:t>
      </w:r>
    </w:p>
    <w:p w14:paraId="6E13C255" w14:textId="77777777" w:rsidR="00AB4589" w:rsidRPr="000032A2" w:rsidRDefault="00AB4589" w:rsidP="00AB4589">
      <w:pPr>
        <w:spacing w:after="0"/>
        <w:rPr>
          <w:rFonts w:cs="Arial"/>
        </w:rPr>
      </w:pPr>
    </w:p>
    <w:tbl>
      <w:tblPr>
        <w:tblStyle w:val="TableGrid"/>
        <w:tblW w:w="0" w:type="auto"/>
        <w:tblLook w:val="04A0" w:firstRow="1" w:lastRow="0" w:firstColumn="1" w:lastColumn="0" w:noHBand="0" w:noVBand="1"/>
      </w:tblPr>
      <w:tblGrid>
        <w:gridCol w:w="1129"/>
        <w:gridCol w:w="1843"/>
        <w:gridCol w:w="1843"/>
        <w:gridCol w:w="1701"/>
      </w:tblGrid>
      <w:tr w:rsidR="0015230B" w14:paraId="58BBAA46" w14:textId="77777777" w:rsidTr="00AB4589">
        <w:tc>
          <w:tcPr>
            <w:tcW w:w="1129" w:type="dxa"/>
          </w:tcPr>
          <w:p w14:paraId="07131F55" w14:textId="77777777" w:rsidR="00AB4589" w:rsidRPr="000032A2" w:rsidRDefault="00AB4589" w:rsidP="00AB4589">
            <w:pPr>
              <w:spacing w:after="0"/>
              <w:rPr>
                <w:rFonts w:cs="Arial"/>
              </w:rPr>
            </w:pPr>
          </w:p>
        </w:tc>
        <w:tc>
          <w:tcPr>
            <w:tcW w:w="1843" w:type="dxa"/>
            <w:vAlign w:val="center"/>
          </w:tcPr>
          <w:p w14:paraId="03A5BB73" w14:textId="77777777" w:rsidR="00AB4589" w:rsidRPr="000032A2" w:rsidRDefault="00AB4589" w:rsidP="00AB4589">
            <w:pPr>
              <w:spacing w:after="0"/>
              <w:jc w:val="center"/>
              <w:rPr>
                <w:rFonts w:cs="Arial"/>
              </w:rPr>
            </w:pPr>
            <w:r w:rsidRPr="000032A2">
              <w:rPr>
                <w:rFonts w:cs="Arial"/>
              </w:rPr>
              <w:t xml:space="preserve">Council </w:t>
            </w:r>
            <w:r>
              <w:rPr>
                <w:rFonts w:cs="Arial"/>
              </w:rPr>
              <w:t>t</w:t>
            </w:r>
            <w:r w:rsidRPr="000032A2">
              <w:rPr>
                <w:rFonts w:cs="Arial"/>
              </w:rPr>
              <w:t>ax increase (no referendum required)</w:t>
            </w:r>
          </w:p>
        </w:tc>
        <w:tc>
          <w:tcPr>
            <w:tcW w:w="1843" w:type="dxa"/>
            <w:vAlign w:val="center"/>
          </w:tcPr>
          <w:p w14:paraId="0814EDC4" w14:textId="77777777" w:rsidR="00AB4589" w:rsidRPr="000032A2" w:rsidRDefault="00AB4589" w:rsidP="00AB4589">
            <w:pPr>
              <w:spacing w:after="0"/>
              <w:jc w:val="center"/>
              <w:rPr>
                <w:rFonts w:cs="Arial"/>
              </w:rPr>
            </w:pPr>
            <w:r w:rsidRPr="000032A2">
              <w:rPr>
                <w:rFonts w:cs="Arial"/>
              </w:rPr>
              <w:t xml:space="preserve">Adult </w:t>
            </w:r>
            <w:r>
              <w:rPr>
                <w:rFonts w:cs="Arial"/>
              </w:rPr>
              <w:t>s</w:t>
            </w:r>
            <w:r w:rsidRPr="000032A2">
              <w:rPr>
                <w:rFonts w:cs="Arial"/>
              </w:rPr>
              <w:t xml:space="preserve">ocial </w:t>
            </w:r>
            <w:r>
              <w:rPr>
                <w:rFonts w:cs="Arial"/>
              </w:rPr>
              <w:t>c</w:t>
            </w:r>
            <w:r w:rsidRPr="000032A2">
              <w:rPr>
                <w:rFonts w:cs="Arial"/>
              </w:rPr>
              <w:t xml:space="preserve">are </w:t>
            </w:r>
            <w:r>
              <w:rPr>
                <w:rFonts w:cs="Arial"/>
              </w:rPr>
              <w:t>p</w:t>
            </w:r>
            <w:r w:rsidRPr="000032A2">
              <w:rPr>
                <w:rFonts w:cs="Arial"/>
              </w:rPr>
              <w:t>recept</w:t>
            </w:r>
          </w:p>
        </w:tc>
        <w:tc>
          <w:tcPr>
            <w:tcW w:w="1701" w:type="dxa"/>
            <w:vAlign w:val="center"/>
          </w:tcPr>
          <w:p w14:paraId="25F23A84" w14:textId="77777777" w:rsidR="00AB4589" w:rsidRPr="007B3C50" w:rsidRDefault="00AB4589" w:rsidP="00AB4589">
            <w:pPr>
              <w:spacing w:after="0"/>
              <w:jc w:val="center"/>
              <w:rPr>
                <w:rFonts w:cs="Arial"/>
              </w:rPr>
            </w:pPr>
            <w:r w:rsidRPr="000032A2">
              <w:rPr>
                <w:rFonts w:cs="Arial"/>
              </w:rPr>
              <w:t>Total council tax increase</w:t>
            </w:r>
          </w:p>
        </w:tc>
      </w:tr>
      <w:tr w:rsidR="0015230B" w14:paraId="2F6C2AB1" w14:textId="77777777" w:rsidTr="00AB4589">
        <w:tc>
          <w:tcPr>
            <w:tcW w:w="1129" w:type="dxa"/>
          </w:tcPr>
          <w:p w14:paraId="328034D8" w14:textId="77777777" w:rsidR="00AB4589" w:rsidRPr="001C000A" w:rsidRDefault="00AB4589" w:rsidP="00AB4589">
            <w:pPr>
              <w:spacing w:after="0"/>
              <w:rPr>
                <w:rFonts w:cs="Arial"/>
              </w:rPr>
            </w:pPr>
            <w:r w:rsidRPr="001C000A">
              <w:rPr>
                <w:rFonts w:cs="Arial"/>
              </w:rPr>
              <w:t>2020/21</w:t>
            </w:r>
          </w:p>
        </w:tc>
        <w:tc>
          <w:tcPr>
            <w:tcW w:w="1843" w:type="dxa"/>
          </w:tcPr>
          <w:p w14:paraId="7B780E25" w14:textId="77777777" w:rsidR="00AB4589" w:rsidRPr="001C000A" w:rsidRDefault="00AB4589" w:rsidP="00AB4589">
            <w:pPr>
              <w:spacing w:after="0"/>
              <w:jc w:val="center"/>
              <w:rPr>
                <w:rFonts w:cs="Arial"/>
              </w:rPr>
            </w:pPr>
            <w:r w:rsidRPr="001C000A">
              <w:rPr>
                <w:rFonts w:cs="Arial"/>
              </w:rPr>
              <w:t>1.99%</w:t>
            </w:r>
          </w:p>
        </w:tc>
        <w:tc>
          <w:tcPr>
            <w:tcW w:w="1843" w:type="dxa"/>
          </w:tcPr>
          <w:p w14:paraId="47C38CD0" w14:textId="77777777" w:rsidR="00AB4589" w:rsidRPr="001C000A" w:rsidRDefault="00AB4589" w:rsidP="00AB4589">
            <w:pPr>
              <w:spacing w:after="0"/>
              <w:jc w:val="center"/>
              <w:rPr>
                <w:rFonts w:cs="Arial"/>
              </w:rPr>
            </w:pPr>
            <w:r w:rsidRPr="001C000A">
              <w:rPr>
                <w:rFonts w:cs="Arial"/>
              </w:rPr>
              <w:t>2.00%</w:t>
            </w:r>
          </w:p>
        </w:tc>
        <w:tc>
          <w:tcPr>
            <w:tcW w:w="1701" w:type="dxa"/>
          </w:tcPr>
          <w:p w14:paraId="33FDECA4" w14:textId="77777777" w:rsidR="00AB4589" w:rsidRPr="001C000A" w:rsidRDefault="00AB4589" w:rsidP="00AB4589">
            <w:pPr>
              <w:spacing w:after="0"/>
              <w:jc w:val="center"/>
              <w:rPr>
                <w:rFonts w:cs="Arial"/>
              </w:rPr>
            </w:pPr>
            <w:r w:rsidRPr="001C000A">
              <w:rPr>
                <w:rFonts w:cs="Arial"/>
              </w:rPr>
              <w:t>3.99%</w:t>
            </w:r>
          </w:p>
        </w:tc>
      </w:tr>
      <w:tr w:rsidR="0015230B" w14:paraId="536D5279" w14:textId="77777777" w:rsidTr="00AB4589">
        <w:tc>
          <w:tcPr>
            <w:tcW w:w="1129" w:type="dxa"/>
          </w:tcPr>
          <w:p w14:paraId="63AE9D58" w14:textId="77777777" w:rsidR="00AB4589" w:rsidRPr="001C000A" w:rsidRDefault="00AB4589" w:rsidP="00AB4589">
            <w:pPr>
              <w:spacing w:after="0"/>
              <w:rPr>
                <w:rFonts w:cs="Arial"/>
              </w:rPr>
            </w:pPr>
            <w:r w:rsidRPr="001C000A">
              <w:rPr>
                <w:rFonts w:cs="Arial"/>
              </w:rPr>
              <w:t>2021/22</w:t>
            </w:r>
          </w:p>
        </w:tc>
        <w:tc>
          <w:tcPr>
            <w:tcW w:w="1843" w:type="dxa"/>
          </w:tcPr>
          <w:p w14:paraId="3CD71907" w14:textId="77777777" w:rsidR="00AB4589" w:rsidRPr="001C000A" w:rsidRDefault="00AB4589" w:rsidP="00AB4589">
            <w:pPr>
              <w:spacing w:after="0"/>
              <w:jc w:val="center"/>
              <w:rPr>
                <w:rFonts w:cs="Arial"/>
              </w:rPr>
            </w:pPr>
            <w:r w:rsidRPr="001C000A">
              <w:rPr>
                <w:rFonts w:cs="Arial"/>
              </w:rPr>
              <w:t>1.99%</w:t>
            </w:r>
          </w:p>
        </w:tc>
        <w:tc>
          <w:tcPr>
            <w:tcW w:w="1843" w:type="dxa"/>
          </w:tcPr>
          <w:p w14:paraId="22E7F624" w14:textId="77777777" w:rsidR="00AB4589" w:rsidRPr="001C000A" w:rsidRDefault="00AB4589" w:rsidP="00AB4589">
            <w:pPr>
              <w:spacing w:after="0"/>
              <w:jc w:val="center"/>
              <w:rPr>
                <w:rFonts w:cs="Arial"/>
              </w:rPr>
            </w:pPr>
            <w:r w:rsidRPr="001C000A">
              <w:rPr>
                <w:rFonts w:cs="Arial"/>
              </w:rPr>
              <w:t>0.00%</w:t>
            </w:r>
          </w:p>
        </w:tc>
        <w:tc>
          <w:tcPr>
            <w:tcW w:w="1701" w:type="dxa"/>
          </w:tcPr>
          <w:p w14:paraId="37DA7954" w14:textId="77777777" w:rsidR="00AB4589" w:rsidRPr="001C000A" w:rsidRDefault="00AB4589" w:rsidP="00AB4589">
            <w:pPr>
              <w:spacing w:after="0"/>
              <w:jc w:val="center"/>
              <w:rPr>
                <w:rFonts w:cs="Arial"/>
              </w:rPr>
            </w:pPr>
            <w:r w:rsidRPr="001C000A">
              <w:rPr>
                <w:rFonts w:cs="Arial"/>
              </w:rPr>
              <w:t>1.99%</w:t>
            </w:r>
          </w:p>
        </w:tc>
      </w:tr>
      <w:tr w:rsidR="0015230B" w14:paraId="2A41C1E7" w14:textId="77777777" w:rsidTr="00AB4589">
        <w:tc>
          <w:tcPr>
            <w:tcW w:w="1129" w:type="dxa"/>
          </w:tcPr>
          <w:p w14:paraId="2401C653" w14:textId="77777777" w:rsidR="00AB4589" w:rsidRPr="001C000A" w:rsidRDefault="00AB4589" w:rsidP="00AB4589">
            <w:pPr>
              <w:spacing w:after="0"/>
              <w:rPr>
                <w:rFonts w:cs="Arial"/>
              </w:rPr>
            </w:pPr>
            <w:r w:rsidRPr="001C000A">
              <w:rPr>
                <w:rFonts w:cs="Arial"/>
              </w:rPr>
              <w:t>2022/23</w:t>
            </w:r>
          </w:p>
        </w:tc>
        <w:tc>
          <w:tcPr>
            <w:tcW w:w="1843" w:type="dxa"/>
          </w:tcPr>
          <w:p w14:paraId="732213E0" w14:textId="77777777" w:rsidR="00AB4589" w:rsidRPr="001C000A" w:rsidRDefault="00AB4589" w:rsidP="00AB4589">
            <w:pPr>
              <w:spacing w:after="0"/>
              <w:jc w:val="center"/>
              <w:rPr>
                <w:rFonts w:cs="Arial"/>
              </w:rPr>
            </w:pPr>
            <w:r w:rsidRPr="001C000A">
              <w:rPr>
                <w:rFonts w:cs="Arial"/>
              </w:rPr>
              <w:t>1.99%</w:t>
            </w:r>
          </w:p>
        </w:tc>
        <w:tc>
          <w:tcPr>
            <w:tcW w:w="1843" w:type="dxa"/>
          </w:tcPr>
          <w:p w14:paraId="7D615B47" w14:textId="77777777" w:rsidR="00AB4589" w:rsidRPr="001C000A" w:rsidRDefault="00AB4589" w:rsidP="00AB4589">
            <w:pPr>
              <w:spacing w:after="0"/>
              <w:jc w:val="center"/>
              <w:rPr>
                <w:rFonts w:cs="Arial"/>
              </w:rPr>
            </w:pPr>
            <w:r w:rsidRPr="001C000A">
              <w:rPr>
                <w:rFonts w:cs="Arial"/>
              </w:rPr>
              <w:t>0.00%</w:t>
            </w:r>
          </w:p>
        </w:tc>
        <w:tc>
          <w:tcPr>
            <w:tcW w:w="1701" w:type="dxa"/>
          </w:tcPr>
          <w:p w14:paraId="1AF7AA02" w14:textId="77777777" w:rsidR="00AB4589" w:rsidRPr="001C000A" w:rsidRDefault="00AB4589" w:rsidP="00AB4589">
            <w:pPr>
              <w:spacing w:after="0"/>
              <w:jc w:val="center"/>
              <w:rPr>
                <w:rFonts w:cs="Arial"/>
              </w:rPr>
            </w:pPr>
            <w:r w:rsidRPr="001C000A">
              <w:rPr>
                <w:rFonts w:cs="Arial"/>
              </w:rPr>
              <w:t>1.99%</w:t>
            </w:r>
          </w:p>
        </w:tc>
      </w:tr>
      <w:tr w:rsidR="0015230B" w14:paraId="5899E398" w14:textId="77777777" w:rsidTr="00AB4589">
        <w:tc>
          <w:tcPr>
            <w:tcW w:w="1129" w:type="dxa"/>
          </w:tcPr>
          <w:p w14:paraId="37B89715" w14:textId="77777777" w:rsidR="00AB4589" w:rsidRPr="001C000A" w:rsidRDefault="00AB4589" w:rsidP="00AB4589">
            <w:pPr>
              <w:spacing w:after="0"/>
              <w:rPr>
                <w:rFonts w:cs="Arial"/>
              </w:rPr>
            </w:pPr>
            <w:r>
              <w:rPr>
                <w:rFonts w:cs="Arial"/>
              </w:rPr>
              <w:t>2023/24</w:t>
            </w:r>
          </w:p>
        </w:tc>
        <w:tc>
          <w:tcPr>
            <w:tcW w:w="1843" w:type="dxa"/>
          </w:tcPr>
          <w:p w14:paraId="3F88C424" w14:textId="77777777" w:rsidR="00AB4589" w:rsidRPr="001C000A" w:rsidRDefault="00AB4589" w:rsidP="00AB4589">
            <w:pPr>
              <w:spacing w:after="0"/>
              <w:jc w:val="center"/>
              <w:rPr>
                <w:rFonts w:cs="Arial"/>
              </w:rPr>
            </w:pPr>
            <w:r>
              <w:rPr>
                <w:rFonts w:cs="Arial"/>
              </w:rPr>
              <w:t>1.99%</w:t>
            </w:r>
          </w:p>
        </w:tc>
        <w:tc>
          <w:tcPr>
            <w:tcW w:w="1843" w:type="dxa"/>
          </w:tcPr>
          <w:p w14:paraId="7CD965CD" w14:textId="77777777" w:rsidR="00AB4589" w:rsidRPr="001C000A" w:rsidRDefault="00AB4589" w:rsidP="00AB4589">
            <w:pPr>
              <w:spacing w:after="0"/>
              <w:jc w:val="center"/>
              <w:rPr>
                <w:rFonts w:cs="Arial"/>
              </w:rPr>
            </w:pPr>
            <w:r w:rsidRPr="001C000A">
              <w:rPr>
                <w:rFonts w:cs="Arial"/>
              </w:rPr>
              <w:t>0.00%</w:t>
            </w:r>
          </w:p>
        </w:tc>
        <w:tc>
          <w:tcPr>
            <w:tcW w:w="1701" w:type="dxa"/>
          </w:tcPr>
          <w:p w14:paraId="3B2369AD" w14:textId="77777777" w:rsidR="00AB4589" w:rsidRPr="001C000A" w:rsidRDefault="00AB4589" w:rsidP="00AB4589">
            <w:pPr>
              <w:spacing w:after="0"/>
              <w:jc w:val="center"/>
              <w:rPr>
                <w:rFonts w:cs="Arial"/>
              </w:rPr>
            </w:pPr>
            <w:r w:rsidRPr="001C000A">
              <w:rPr>
                <w:rFonts w:cs="Arial"/>
              </w:rPr>
              <w:t>1.99%</w:t>
            </w:r>
          </w:p>
        </w:tc>
      </w:tr>
    </w:tbl>
    <w:p w14:paraId="22BD1E94" w14:textId="77777777" w:rsidR="00AB4589" w:rsidRPr="00813473" w:rsidRDefault="00AB4589" w:rsidP="00AB4589">
      <w:pPr>
        <w:spacing w:after="0"/>
        <w:rPr>
          <w:rFonts w:cs="Arial"/>
          <w:highlight w:val="yellow"/>
        </w:rPr>
      </w:pPr>
    </w:p>
    <w:p w14:paraId="4C4ADDDF" w14:textId="77777777" w:rsidR="00AB4589" w:rsidRPr="001C000A" w:rsidRDefault="00AB4589" w:rsidP="00AB4589">
      <w:pPr>
        <w:spacing w:after="0"/>
        <w:rPr>
          <w:rFonts w:cs="Arial"/>
          <w:u w:val="single"/>
        </w:rPr>
      </w:pPr>
      <w:r>
        <w:rPr>
          <w:rFonts w:cs="Arial"/>
        </w:rPr>
        <w:t xml:space="preserve">Following the spending round and technical consultation it is likely that the option to raise an adult social care precept of 2% will be available to authorities for 2020/21.  </w:t>
      </w:r>
      <w:r w:rsidRPr="001C000A">
        <w:rPr>
          <w:rFonts w:cs="Arial"/>
        </w:rPr>
        <w:t>From 202</w:t>
      </w:r>
      <w:r>
        <w:rPr>
          <w:rFonts w:cs="Arial"/>
        </w:rPr>
        <w:t>1</w:t>
      </w:r>
      <w:r w:rsidRPr="001C000A">
        <w:rPr>
          <w:rFonts w:cs="Arial"/>
        </w:rPr>
        <w:t>/2</w:t>
      </w:r>
      <w:r>
        <w:rPr>
          <w:rFonts w:cs="Arial"/>
        </w:rPr>
        <w:t>2</w:t>
      </w:r>
      <w:r w:rsidRPr="001C000A">
        <w:rPr>
          <w:rFonts w:cs="Arial"/>
        </w:rPr>
        <w:t xml:space="preserve"> onwards, it is assumed the maximum increase that the county council is able to apply to council tax, without a referendum, is 1.99%. Any decisions not to increase council tax in line with the assumptions above would increase the financial gap; every 1% in council tax yields c</w:t>
      </w:r>
      <w:r>
        <w:rPr>
          <w:rFonts w:cs="Arial"/>
        </w:rPr>
        <w:t xml:space="preserve">irca </w:t>
      </w:r>
      <w:r w:rsidRPr="001C000A">
        <w:rPr>
          <w:rFonts w:cs="Arial"/>
        </w:rPr>
        <w:t>£5</w:t>
      </w:r>
      <w:r>
        <w:rPr>
          <w:rFonts w:cs="Arial"/>
        </w:rPr>
        <w:t>.000</w:t>
      </w:r>
      <w:r w:rsidRPr="001C000A">
        <w:rPr>
          <w:rFonts w:cs="Arial"/>
        </w:rPr>
        <w:t>m.</w:t>
      </w:r>
      <w:r w:rsidRPr="001C000A">
        <w:rPr>
          <w:rFonts w:cs="Arial"/>
          <w:u w:val="single"/>
        </w:rPr>
        <w:t xml:space="preserve"> </w:t>
      </w:r>
    </w:p>
    <w:p w14:paraId="6F2E8023" w14:textId="77777777" w:rsidR="00AB4589" w:rsidRPr="001C000A" w:rsidRDefault="00AB4589" w:rsidP="00AB4589">
      <w:pPr>
        <w:spacing w:after="0"/>
        <w:rPr>
          <w:rFonts w:cs="Arial"/>
          <w:u w:val="single"/>
        </w:rPr>
      </w:pPr>
    </w:p>
    <w:p w14:paraId="65F6AD88" w14:textId="77777777" w:rsidR="00AB4589" w:rsidRPr="001C000A" w:rsidRDefault="00AB4589" w:rsidP="00AB4589">
      <w:pPr>
        <w:spacing w:after="0"/>
        <w:rPr>
          <w:rFonts w:cs="Arial"/>
        </w:rPr>
      </w:pPr>
      <w:r w:rsidRPr="001C000A">
        <w:rPr>
          <w:rFonts w:cs="Arial"/>
        </w:rPr>
        <w:t xml:space="preserve">Within the current MTFS a tax base increase of 1.7% is included, which is the same position as in the previously reported MTFS based on historical average increases. However, in the most recent data available the tax base forecast position for 2019/20 for Lancashire was 1.4%. At this stage the average increase of 1.7% has been maintained within the MTFS, as we anticipate having an offsetting increase on the collection fund (which has also not been built into the MTFS at this stage) that could be increased due to prudent estimations of growth from district councils, based again on historical surplus positons. </w:t>
      </w:r>
    </w:p>
    <w:p w14:paraId="436C2D1F" w14:textId="77777777" w:rsidR="00AB4589" w:rsidRPr="00813473" w:rsidRDefault="00AB4589" w:rsidP="00AB4589">
      <w:pPr>
        <w:spacing w:after="0"/>
        <w:rPr>
          <w:rFonts w:cs="Arial"/>
          <w:b/>
          <w:highlight w:val="yellow"/>
        </w:rPr>
      </w:pPr>
    </w:p>
    <w:p w14:paraId="280BDBA0" w14:textId="77777777" w:rsidR="00AB4589" w:rsidRDefault="00AB4589" w:rsidP="00AB4589">
      <w:pPr>
        <w:spacing w:after="0"/>
        <w:rPr>
          <w:rFonts w:cs="Arial"/>
          <w:b/>
          <w:i/>
        </w:rPr>
      </w:pPr>
      <w:r w:rsidRPr="001C000A">
        <w:rPr>
          <w:rFonts w:cs="Arial"/>
          <w:b/>
          <w:i/>
        </w:rPr>
        <w:t xml:space="preserve">Business </w:t>
      </w:r>
      <w:r>
        <w:rPr>
          <w:rFonts w:cs="Arial"/>
          <w:b/>
          <w:i/>
        </w:rPr>
        <w:t>r</w:t>
      </w:r>
      <w:r w:rsidRPr="001C000A">
        <w:rPr>
          <w:rFonts w:cs="Arial"/>
          <w:b/>
          <w:i/>
        </w:rPr>
        <w:t xml:space="preserve">ates </w:t>
      </w:r>
    </w:p>
    <w:p w14:paraId="69F54909" w14:textId="77777777" w:rsidR="00AB4589" w:rsidRPr="001C000A" w:rsidRDefault="00AB4589" w:rsidP="00AB4589">
      <w:pPr>
        <w:spacing w:after="0"/>
        <w:rPr>
          <w:rFonts w:cs="Arial"/>
          <w:b/>
          <w:i/>
        </w:rPr>
      </w:pPr>
    </w:p>
    <w:p w14:paraId="01FFDC27" w14:textId="77777777" w:rsidR="00AB4589" w:rsidRPr="001C000A" w:rsidRDefault="00AB4589" w:rsidP="00AB4589">
      <w:pPr>
        <w:spacing w:after="0"/>
        <w:rPr>
          <w:rFonts w:cs="Arial"/>
        </w:rPr>
      </w:pPr>
      <w:r w:rsidRPr="001C000A">
        <w:rPr>
          <w:rFonts w:cs="Arial"/>
        </w:rPr>
        <w:t>Business rates income is a significant portion of funding to local authorities. The baseline is an assessment of the business rate income required to meet service needs. For the county council, the amount we anticipate to receive from the business rates collected in the area is less than its assessed need and therefore we receive a top up grant. We also build in a small amount of growth into the MTFS for our local share at 0.5%.</w:t>
      </w:r>
    </w:p>
    <w:p w14:paraId="4FAD7DA3" w14:textId="77777777" w:rsidR="00AB4589" w:rsidRPr="00813473" w:rsidRDefault="00AB4589" w:rsidP="00AB4589">
      <w:pPr>
        <w:tabs>
          <w:tab w:val="left" w:pos="567"/>
          <w:tab w:val="left" w:pos="1134"/>
        </w:tabs>
        <w:spacing w:after="0"/>
        <w:rPr>
          <w:rFonts w:cs="Arial"/>
          <w:highlight w:val="yellow"/>
        </w:rPr>
      </w:pPr>
    </w:p>
    <w:p w14:paraId="4DB9BC45" w14:textId="77777777" w:rsidR="00AB4589" w:rsidRPr="00F652B4" w:rsidRDefault="00AB4589" w:rsidP="00AB4589">
      <w:pPr>
        <w:tabs>
          <w:tab w:val="left" w:pos="567"/>
          <w:tab w:val="left" w:pos="1134"/>
        </w:tabs>
        <w:spacing w:after="0"/>
        <w:rPr>
          <w:rFonts w:cs="Arial"/>
        </w:rPr>
      </w:pPr>
      <w:r w:rsidRPr="001C000A">
        <w:rPr>
          <w:rFonts w:cs="Arial"/>
        </w:rPr>
        <w:lastRenderedPageBreak/>
        <w:t xml:space="preserve">It has now been confirmed that the 2019/20 75% </w:t>
      </w:r>
      <w:r>
        <w:rPr>
          <w:rFonts w:cs="Arial"/>
        </w:rPr>
        <w:t xml:space="preserve">business rates retention </w:t>
      </w:r>
      <w:r w:rsidRPr="001C000A">
        <w:rPr>
          <w:rFonts w:cs="Arial"/>
        </w:rPr>
        <w:t>pilots will not continue in 2020/21.</w:t>
      </w:r>
      <w:r w:rsidRPr="00F652B4">
        <w:rPr>
          <w:rFonts w:ascii="Calibri" w:hAnsi="Calibri" w:cs="Calibri"/>
          <w:sz w:val="22"/>
          <w:szCs w:val="22"/>
        </w:rPr>
        <w:t xml:space="preserve"> </w:t>
      </w:r>
      <w:r w:rsidRPr="004D335F">
        <w:rPr>
          <w:rFonts w:cs="Arial"/>
        </w:rPr>
        <w:t xml:space="preserve">As a </w:t>
      </w:r>
      <w:r>
        <w:rPr>
          <w:rFonts w:cs="Arial"/>
        </w:rPr>
        <w:t xml:space="preserve">result we have sought guidance from sector experts and have modelled based on their guidance for a </w:t>
      </w:r>
      <w:r w:rsidRPr="00F652B4">
        <w:rPr>
          <w:rFonts w:cs="Arial"/>
        </w:rPr>
        <w:t xml:space="preserve">50% scheme </w:t>
      </w:r>
      <w:r>
        <w:rPr>
          <w:rFonts w:cs="Arial"/>
        </w:rPr>
        <w:t xml:space="preserve">for </w:t>
      </w:r>
      <w:r w:rsidRPr="00F652B4">
        <w:rPr>
          <w:rFonts w:cs="Arial"/>
        </w:rPr>
        <w:t>20</w:t>
      </w:r>
      <w:r>
        <w:rPr>
          <w:rFonts w:cs="Arial"/>
        </w:rPr>
        <w:t>20</w:t>
      </w:r>
      <w:r w:rsidRPr="00F652B4">
        <w:rPr>
          <w:rFonts w:cs="Arial"/>
        </w:rPr>
        <w:t xml:space="preserve">/21, then </w:t>
      </w:r>
      <w:r>
        <w:rPr>
          <w:rFonts w:cs="Arial"/>
        </w:rPr>
        <w:t xml:space="preserve">a </w:t>
      </w:r>
      <w:r w:rsidRPr="00F652B4">
        <w:rPr>
          <w:rFonts w:cs="Arial"/>
        </w:rPr>
        <w:t xml:space="preserve">75% </w:t>
      </w:r>
      <w:r>
        <w:rPr>
          <w:rFonts w:cs="Arial"/>
        </w:rPr>
        <w:t>scheme for the remainder of the forecast period,</w:t>
      </w:r>
    </w:p>
    <w:p w14:paraId="69787CAE" w14:textId="77777777" w:rsidR="00AB4589" w:rsidRPr="001C000A" w:rsidRDefault="00AB4589" w:rsidP="00AB4589">
      <w:pPr>
        <w:tabs>
          <w:tab w:val="left" w:pos="567"/>
          <w:tab w:val="left" w:pos="1134"/>
        </w:tabs>
        <w:spacing w:after="0"/>
        <w:rPr>
          <w:rFonts w:cs="Arial"/>
        </w:rPr>
      </w:pPr>
    </w:p>
    <w:p w14:paraId="4E540257" w14:textId="77777777" w:rsidR="00AB4589" w:rsidRPr="001C000A" w:rsidRDefault="00AB4589" w:rsidP="00AB4589">
      <w:pPr>
        <w:spacing w:after="0"/>
        <w:rPr>
          <w:rFonts w:cs="Arial"/>
          <w:b/>
        </w:rPr>
      </w:pPr>
      <w:r w:rsidRPr="001C000A">
        <w:rPr>
          <w:rFonts w:cs="Arial"/>
          <w:b/>
        </w:rPr>
        <w:t xml:space="preserve">2.2 Capital </w:t>
      </w:r>
      <w:r>
        <w:rPr>
          <w:rFonts w:cs="Arial"/>
          <w:b/>
        </w:rPr>
        <w:t>r</w:t>
      </w:r>
      <w:r w:rsidRPr="001C000A">
        <w:rPr>
          <w:rFonts w:cs="Arial"/>
          <w:b/>
        </w:rPr>
        <w:t>eceipts</w:t>
      </w:r>
    </w:p>
    <w:p w14:paraId="07EAA95D" w14:textId="77777777" w:rsidR="00AB4589" w:rsidRPr="00813473" w:rsidRDefault="00AB4589" w:rsidP="00AB4589">
      <w:pPr>
        <w:spacing w:after="0"/>
        <w:rPr>
          <w:rFonts w:cs="Arial"/>
          <w:b/>
          <w:highlight w:val="yellow"/>
        </w:rPr>
      </w:pPr>
    </w:p>
    <w:p w14:paraId="506FFB86" w14:textId="77777777" w:rsidR="00AB4589" w:rsidRPr="001C000A" w:rsidRDefault="00AB4589" w:rsidP="00AB4589">
      <w:pPr>
        <w:tabs>
          <w:tab w:val="left" w:pos="567"/>
          <w:tab w:val="left" w:pos="1134"/>
        </w:tabs>
        <w:spacing w:after="0"/>
        <w:rPr>
          <w:rFonts w:cs="Arial"/>
        </w:rPr>
      </w:pPr>
      <w:r w:rsidRPr="001C000A">
        <w:t>In April 2016 the government introduced the flexibility for capital receipts to be used to fund revenue expenditure that is designed to generate ongoing revenue savings or service improvements. This flexibility is currently available until 2021/22.</w:t>
      </w:r>
      <w:r w:rsidRPr="001C000A">
        <w:rPr>
          <w:rFonts w:cs="Arial"/>
        </w:rPr>
        <w:t xml:space="preserve"> </w:t>
      </w:r>
    </w:p>
    <w:p w14:paraId="731119FF" w14:textId="77777777" w:rsidR="00AB4589" w:rsidRPr="001C000A" w:rsidRDefault="00AB4589" w:rsidP="00AB4589">
      <w:pPr>
        <w:tabs>
          <w:tab w:val="left" w:pos="567"/>
          <w:tab w:val="left" w:pos="1134"/>
        </w:tabs>
        <w:spacing w:after="0"/>
        <w:rPr>
          <w:rFonts w:cs="Arial"/>
        </w:rPr>
      </w:pPr>
    </w:p>
    <w:p w14:paraId="721F2F10" w14:textId="77777777" w:rsidR="00AB4589" w:rsidRPr="001C000A" w:rsidRDefault="00AB4589" w:rsidP="00AB4589">
      <w:pPr>
        <w:tabs>
          <w:tab w:val="left" w:pos="567"/>
          <w:tab w:val="left" w:pos="1134"/>
        </w:tabs>
        <w:spacing w:after="0"/>
        <w:rPr>
          <w:rFonts w:cs="Arial"/>
        </w:rPr>
      </w:pPr>
      <w:r>
        <w:rPr>
          <w:rFonts w:cs="Arial"/>
        </w:rPr>
        <w:t>In the light of current assumptions of increased funding being available, c</w:t>
      </w:r>
      <w:r w:rsidRPr="00003132">
        <w:rPr>
          <w:rFonts w:cs="Arial"/>
        </w:rPr>
        <w:t>apital receipts of £7</w:t>
      </w:r>
      <w:r>
        <w:rPr>
          <w:rFonts w:cs="Arial"/>
        </w:rPr>
        <w:t>.000</w:t>
      </w:r>
      <w:r w:rsidRPr="00003132">
        <w:rPr>
          <w:rFonts w:cs="Arial"/>
        </w:rPr>
        <w:t>m and £2.5</w:t>
      </w:r>
      <w:r>
        <w:rPr>
          <w:rFonts w:cs="Arial"/>
        </w:rPr>
        <w:t>00</w:t>
      </w:r>
      <w:r w:rsidRPr="00003132">
        <w:rPr>
          <w:rFonts w:cs="Arial"/>
        </w:rPr>
        <w:t xml:space="preserve">m </w:t>
      </w:r>
      <w:r>
        <w:rPr>
          <w:rFonts w:cs="Arial"/>
        </w:rPr>
        <w:t xml:space="preserve">which were previously included to support revenue expenditure within the MTFS have been removed. </w:t>
      </w:r>
    </w:p>
    <w:p w14:paraId="315D7A84" w14:textId="77777777" w:rsidR="00AB4589" w:rsidRPr="00813473" w:rsidRDefault="00AB4589" w:rsidP="00AB4589">
      <w:pPr>
        <w:spacing w:after="0"/>
        <w:rPr>
          <w:rFonts w:cs="Arial"/>
          <w:highlight w:val="yellow"/>
        </w:rPr>
      </w:pPr>
    </w:p>
    <w:p w14:paraId="6A31DD9C" w14:textId="77777777" w:rsidR="00AB4589" w:rsidRPr="001A7439" w:rsidRDefault="00AB4589" w:rsidP="00AB4589">
      <w:pPr>
        <w:spacing w:after="0"/>
        <w:rPr>
          <w:rFonts w:cs="Arial"/>
          <w:b/>
        </w:rPr>
      </w:pPr>
      <w:r w:rsidRPr="001A7439">
        <w:rPr>
          <w:rFonts w:cs="Arial"/>
          <w:b/>
        </w:rPr>
        <w:t xml:space="preserve">3. Net </w:t>
      </w:r>
      <w:r>
        <w:rPr>
          <w:rFonts w:cs="Arial"/>
          <w:b/>
        </w:rPr>
        <w:t>b</w:t>
      </w:r>
      <w:r w:rsidRPr="001A7439">
        <w:rPr>
          <w:rFonts w:cs="Arial"/>
          <w:b/>
        </w:rPr>
        <w:t xml:space="preserve">udget </w:t>
      </w:r>
      <w:r>
        <w:rPr>
          <w:rFonts w:cs="Arial"/>
          <w:b/>
        </w:rPr>
        <w:t>r</w:t>
      </w:r>
      <w:r w:rsidRPr="001A7439">
        <w:rPr>
          <w:rFonts w:cs="Arial"/>
          <w:b/>
        </w:rPr>
        <w:t xml:space="preserve">equirement </w:t>
      </w:r>
    </w:p>
    <w:p w14:paraId="160FAAB4" w14:textId="77777777" w:rsidR="00AB4589" w:rsidRPr="00813473" w:rsidRDefault="00AB4589" w:rsidP="00AB4589">
      <w:pPr>
        <w:spacing w:after="0"/>
        <w:rPr>
          <w:rFonts w:cs="Arial"/>
          <w:b/>
          <w:highlight w:val="yellow"/>
        </w:rPr>
      </w:pPr>
    </w:p>
    <w:p w14:paraId="7214669F" w14:textId="77777777" w:rsidR="00AB4589" w:rsidRPr="001A7439" w:rsidRDefault="00AB4589" w:rsidP="00AB4589">
      <w:pPr>
        <w:tabs>
          <w:tab w:val="left" w:pos="567"/>
          <w:tab w:val="left" w:pos="1134"/>
        </w:tabs>
        <w:spacing w:after="0"/>
        <w:rPr>
          <w:rFonts w:cs="Arial"/>
        </w:rPr>
      </w:pPr>
      <w:r w:rsidRPr="001A7439">
        <w:rPr>
          <w:rFonts w:cs="Arial"/>
        </w:rPr>
        <w:t xml:space="preserve">The MTFS covers spending pressures including pay increases, contractual inflation, increased demand for services and the impact of previously agreed and new savings measures. </w:t>
      </w:r>
    </w:p>
    <w:p w14:paraId="13B1DA8D" w14:textId="77777777" w:rsidR="00AB4589" w:rsidRPr="00813473" w:rsidRDefault="00AB4589" w:rsidP="00AB4589">
      <w:pPr>
        <w:spacing w:after="0"/>
        <w:rPr>
          <w:rFonts w:cs="Arial"/>
          <w:highlight w:val="yellow"/>
        </w:rPr>
      </w:pPr>
    </w:p>
    <w:p w14:paraId="2919FF35" w14:textId="77777777" w:rsidR="00AB4589" w:rsidRPr="001A7439" w:rsidRDefault="00AB4589" w:rsidP="00AB4589">
      <w:pPr>
        <w:spacing w:after="0"/>
        <w:rPr>
          <w:rFonts w:cs="Arial"/>
          <w:b/>
        </w:rPr>
      </w:pPr>
      <w:r w:rsidRPr="001A7439">
        <w:rPr>
          <w:rFonts w:cs="Arial"/>
          <w:b/>
        </w:rPr>
        <w:t xml:space="preserve">3.1 Pay and </w:t>
      </w:r>
      <w:r>
        <w:rPr>
          <w:rFonts w:cs="Arial"/>
          <w:b/>
        </w:rPr>
        <w:t>p</w:t>
      </w:r>
      <w:r w:rsidRPr="001A7439">
        <w:rPr>
          <w:rFonts w:cs="Arial"/>
          <w:b/>
        </w:rPr>
        <w:t>ensions</w:t>
      </w:r>
    </w:p>
    <w:p w14:paraId="65605FA1" w14:textId="77777777" w:rsidR="00AB4589" w:rsidRPr="00813473" w:rsidRDefault="00AB4589" w:rsidP="00AB4589">
      <w:pPr>
        <w:spacing w:after="0"/>
        <w:rPr>
          <w:rFonts w:cs="Arial"/>
          <w:b/>
          <w:highlight w:val="yellow"/>
        </w:rPr>
      </w:pPr>
    </w:p>
    <w:p w14:paraId="3D41995A" w14:textId="77777777" w:rsidR="00AB4589" w:rsidRDefault="00AB4589" w:rsidP="00AB4589">
      <w:pPr>
        <w:spacing w:after="0"/>
        <w:rPr>
          <w:rFonts w:cs="Arial"/>
        </w:rPr>
      </w:pPr>
      <w:r w:rsidRPr="00123FA1">
        <w:rPr>
          <w:rFonts w:cs="Arial"/>
        </w:rPr>
        <w:t xml:space="preserve">The salary pay pressure has </w:t>
      </w:r>
      <w:r>
        <w:rPr>
          <w:rFonts w:cs="Arial"/>
        </w:rPr>
        <w:t>been amended to reflect additional staffing in the education and children's services directorate to support the reduction in social worker caseloads and to deliver the changes required to deliver the Lancashire family safeguarding model and deliver a gross saving of circa £12.000m</w:t>
      </w:r>
      <w:r w:rsidRPr="00123FA1">
        <w:rPr>
          <w:rFonts w:cs="Arial"/>
        </w:rPr>
        <w:t>. In the previous MTFS there was an assumption representing a reversal of the discount on employer pension contributions due up to and including 2019/20. The current MTFS now includes a potential saving for a future pension prepayment which negates the previous reversal.</w:t>
      </w:r>
    </w:p>
    <w:p w14:paraId="18A4E0D3" w14:textId="77777777" w:rsidR="00AB4589" w:rsidRDefault="00AB4589" w:rsidP="00AB4589">
      <w:pPr>
        <w:spacing w:after="0"/>
        <w:rPr>
          <w:rFonts w:cs="Arial"/>
        </w:rPr>
      </w:pPr>
    </w:p>
    <w:p w14:paraId="0851AAF0" w14:textId="77777777" w:rsidR="00AB4589" w:rsidRDefault="00AB4589" w:rsidP="00AB4589">
      <w:pPr>
        <w:spacing w:after="0"/>
        <w:rPr>
          <w:rFonts w:cs="Arial"/>
        </w:rPr>
      </w:pPr>
      <w:r>
        <w:rPr>
          <w:rFonts w:cs="Arial"/>
        </w:rPr>
        <w:t>The pension cost line includes a reduction for the effects of the latest triennial valuation for the pension scheme which disclosed a significantly improved funding position and as a result a lower pensions contribution requirement of £6.400m per annum.</w:t>
      </w:r>
    </w:p>
    <w:p w14:paraId="40177A13" w14:textId="77777777" w:rsidR="00AB4589" w:rsidRPr="00813473" w:rsidRDefault="00AB4589" w:rsidP="00AB4589">
      <w:pPr>
        <w:spacing w:after="0"/>
        <w:rPr>
          <w:rFonts w:cs="Arial"/>
          <w:highlight w:val="yellow"/>
        </w:rPr>
      </w:pPr>
    </w:p>
    <w:p w14:paraId="5FB31047" w14:textId="77777777" w:rsidR="00AB4589" w:rsidRPr="00123FA1" w:rsidRDefault="00AB4589" w:rsidP="00AB4589">
      <w:pPr>
        <w:spacing w:after="0"/>
        <w:rPr>
          <w:rFonts w:cs="Arial"/>
        </w:rPr>
      </w:pPr>
      <w:r w:rsidRPr="00123FA1">
        <w:rPr>
          <w:rFonts w:cs="Arial"/>
        </w:rPr>
        <w:t>The table below presents the amounts built into the MTFS for pay and pensions:</w:t>
      </w:r>
    </w:p>
    <w:p w14:paraId="73846AC7" w14:textId="77777777" w:rsidR="00AB4589" w:rsidRPr="00813473" w:rsidRDefault="00AB4589" w:rsidP="00AB4589">
      <w:pPr>
        <w:spacing w:after="0"/>
        <w:rPr>
          <w:rFonts w:cs="Arial"/>
          <w:highlight w:val="yellow"/>
        </w:rPr>
      </w:pPr>
    </w:p>
    <w:p w14:paraId="3A013F37" w14:textId="77777777" w:rsidR="00AB4589" w:rsidRDefault="00AB4589" w:rsidP="00AB4589">
      <w:pPr>
        <w:spacing w:after="0"/>
        <w:rPr>
          <w:rFonts w:cs="Arial"/>
          <w:b/>
          <w:i/>
          <w:u w:val="single"/>
        </w:rPr>
      </w:pPr>
    </w:p>
    <w:p w14:paraId="5CE3029C" w14:textId="77777777" w:rsidR="00AB4589" w:rsidRDefault="00AB4589" w:rsidP="00AB4589">
      <w:pPr>
        <w:spacing w:after="0"/>
        <w:rPr>
          <w:rFonts w:cs="Arial"/>
          <w:b/>
          <w:i/>
          <w:u w:val="single"/>
        </w:rPr>
      </w:pPr>
    </w:p>
    <w:p w14:paraId="0BE80E84" w14:textId="77777777" w:rsidR="00AB4589" w:rsidRDefault="00AB4589" w:rsidP="00AB4589">
      <w:pPr>
        <w:spacing w:after="0"/>
        <w:rPr>
          <w:rFonts w:cs="Arial"/>
          <w:b/>
          <w:i/>
          <w:u w:val="single"/>
        </w:rPr>
      </w:pPr>
    </w:p>
    <w:p w14:paraId="60818A62" w14:textId="77777777" w:rsidR="00AB4589" w:rsidRDefault="00AB4589" w:rsidP="00AB4589">
      <w:pPr>
        <w:spacing w:after="0"/>
        <w:rPr>
          <w:rFonts w:cs="Arial"/>
          <w:b/>
          <w:i/>
          <w:u w:val="single"/>
        </w:rPr>
      </w:pPr>
    </w:p>
    <w:p w14:paraId="64A6C6CA" w14:textId="77777777" w:rsidR="00AB4589" w:rsidRDefault="00AB4589" w:rsidP="00AB4589">
      <w:pPr>
        <w:spacing w:after="0"/>
        <w:rPr>
          <w:rFonts w:cs="Arial"/>
          <w:b/>
          <w:i/>
          <w:u w:val="single"/>
        </w:rPr>
      </w:pPr>
    </w:p>
    <w:p w14:paraId="6D251084" w14:textId="77777777" w:rsidR="00AB4589" w:rsidRDefault="00AB4589" w:rsidP="00AB4589">
      <w:pPr>
        <w:spacing w:after="0"/>
        <w:rPr>
          <w:rFonts w:cs="Arial"/>
          <w:b/>
          <w:i/>
          <w:u w:val="single"/>
        </w:rPr>
      </w:pPr>
    </w:p>
    <w:p w14:paraId="41F78FB0" w14:textId="77777777" w:rsidR="00AB4589" w:rsidRDefault="00AB4589" w:rsidP="00AB4589">
      <w:pPr>
        <w:spacing w:after="0"/>
        <w:rPr>
          <w:rFonts w:cs="Arial"/>
          <w:b/>
          <w:i/>
          <w:u w:val="single"/>
        </w:rPr>
      </w:pPr>
    </w:p>
    <w:p w14:paraId="515036F7" w14:textId="77777777" w:rsidR="00AB4589" w:rsidRDefault="00AB4589" w:rsidP="00AB4589">
      <w:pPr>
        <w:spacing w:after="0"/>
        <w:rPr>
          <w:rFonts w:cs="Arial"/>
          <w:b/>
          <w:i/>
          <w:u w:val="single"/>
        </w:rPr>
      </w:pPr>
    </w:p>
    <w:p w14:paraId="0D598E61" w14:textId="77777777" w:rsidR="00AB4589" w:rsidRDefault="00AB4589" w:rsidP="00AB4589">
      <w:pPr>
        <w:spacing w:after="0"/>
        <w:rPr>
          <w:rFonts w:cs="Arial"/>
          <w:b/>
          <w:i/>
          <w:u w:val="single"/>
        </w:rPr>
      </w:pPr>
    </w:p>
    <w:p w14:paraId="3FB7E140" w14:textId="77777777" w:rsidR="00AB4589" w:rsidRDefault="00AB4589" w:rsidP="00AB4589">
      <w:pPr>
        <w:spacing w:after="0"/>
        <w:rPr>
          <w:rFonts w:cs="Arial"/>
          <w:b/>
          <w:i/>
          <w:u w:val="single"/>
        </w:rPr>
      </w:pPr>
    </w:p>
    <w:p w14:paraId="0C492F11" w14:textId="77777777" w:rsidR="00AB4589" w:rsidRDefault="00AB4589" w:rsidP="00AB4589">
      <w:pPr>
        <w:spacing w:after="0"/>
        <w:rPr>
          <w:rFonts w:cs="Arial"/>
          <w:b/>
          <w:i/>
          <w:u w:val="single"/>
        </w:rPr>
      </w:pPr>
    </w:p>
    <w:p w14:paraId="6E9F5858" w14:textId="77777777" w:rsidR="00AB4589" w:rsidRDefault="00AB4589" w:rsidP="00AB4589">
      <w:pPr>
        <w:spacing w:after="0"/>
        <w:rPr>
          <w:rFonts w:cs="Arial"/>
          <w:b/>
          <w:i/>
          <w:u w:val="single"/>
        </w:rPr>
      </w:pPr>
    </w:p>
    <w:p w14:paraId="720D1882" w14:textId="77777777" w:rsidR="00AB4589" w:rsidRDefault="00AB4589" w:rsidP="00AB4589">
      <w:pPr>
        <w:spacing w:after="0"/>
        <w:rPr>
          <w:rFonts w:cs="Arial"/>
          <w:b/>
          <w:i/>
          <w:u w:val="single"/>
        </w:rPr>
      </w:pPr>
    </w:p>
    <w:p w14:paraId="7B722CD5" w14:textId="77777777" w:rsidR="00AB4589" w:rsidRPr="001A7439" w:rsidRDefault="00AB4589" w:rsidP="00AB4589">
      <w:pPr>
        <w:spacing w:after="0"/>
        <w:rPr>
          <w:rFonts w:cs="Arial"/>
          <w:b/>
          <w:i/>
          <w:u w:val="single"/>
        </w:rPr>
      </w:pPr>
      <w:r w:rsidRPr="001A7439">
        <w:rPr>
          <w:rFonts w:cs="Arial"/>
          <w:b/>
          <w:i/>
          <w:u w:val="single"/>
        </w:rPr>
        <w:lastRenderedPageBreak/>
        <w:t>Table 4</w:t>
      </w:r>
    </w:p>
    <w:p w14:paraId="662EE016" w14:textId="77777777" w:rsidR="00AB4589" w:rsidRPr="00813473" w:rsidRDefault="00AB4589" w:rsidP="00AB4589">
      <w:pPr>
        <w:spacing w:after="0"/>
        <w:rPr>
          <w:rFonts w:cs="Arial"/>
          <w:highlight w:val="yellow"/>
        </w:rPr>
      </w:pPr>
    </w:p>
    <w:tbl>
      <w:tblPr>
        <w:tblStyle w:val="TableGrid8"/>
        <w:tblW w:w="9776" w:type="dxa"/>
        <w:tblLook w:val="04A0" w:firstRow="1" w:lastRow="0" w:firstColumn="1" w:lastColumn="0" w:noHBand="0" w:noVBand="1"/>
      </w:tblPr>
      <w:tblGrid>
        <w:gridCol w:w="2405"/>
        <w:gridCol w:w="1506"/>
        <w:gridCol w:w="1471"/>
        <w:gridCol w:w="1559"/>
        <w:gridCol w:w="1418"/>
        <w:gridCol w:w="1417"/>
      </w:tblGrid>
      <w:tr w:rsidR="0015230B" w14:paraId="10A45131" w14:textId="77777777" w:rsidTr="00AB4589">
        <w:trPr>
          <w:trHeight w:val="689"/>
        </w:trPr>
        <w:tc>
          <w:tcPr>
            <w:tcW w:w="2405" w:type="dxa"/>
            <w:shd w:val="clear" w:color="auto" w:fill="BFBFBF" w:themeFill="background1" w:themeFillShade="BF"/>
          </w:tcPr>
          <w:p w14:paraId="2F579DCF" w14:textId="77777777" w:rsidR="00AB4589" w:rsidRPr="00F00713" w:rsidRDefault="00AB4589" w:rsidP="00AB4589">
            <w:pPr>
              <w:tabs>
                <w:tab w:val="left" w:pos="567"/>
                <w:tab w:val="left" w:pos="1134"/>
              </w:tabs>
              <w:spacing w:after="0"/>
              <w:rPr>
                <w:rFonts w:cs="Arial"/>
                <w:highlight w:val="yellow"/>
              </w:rPr>
            </w:pPr>
          </w:p>
        </w:tc>
        <w:tc>
          <w:tcPr>
            <w:tcW w:w="1506" w:type="dxa"/>
            <w:shd w:val="clear" w:color="auto" w:fill="BFBFBF" w:themeFill="background1" w:themeFillShade="BF"/>
            <w:vAlign w:val="center"/>
          </w:tcPr>
          <w:p w14:paraId="4F4DE4AA" w14:textId="77777777" w:rsidR="00AB4589" w:rsidRPr="00381FDB" w:rsidRDefault="00AB4589" w:rsidP="00AB4589">
            <w:pPr>
              <w:tabs>
                <w:tab w:val="left" w:pos="567"/>
                <w:tab w:val="left" w:pos="1134"/>
              </w:tabs>
              <w:spacing w:after="0"/>
              <w:jc w:val="center"/>
              <w:rPr>
                <w:rFonts w:cs="Arial"/>
                <w:b/>
              </w:rPr>
            </w:pPr>
            <w:r w:rsidRPr="00381FDB">
              <w:rPr>
                <w:rFonts w:cs="Arial"/>
                <w:b/>
              </w:rPr>
              <w:t>2020/21</w:t>
            </w:r>
          </w:p>
          <w:p w14:paraId="7A4A3F1F" w14:textId="77777777" w:rsidR="00AB4589" w:rsidRPr="00381FDB" w:rsidRDefault="00AB4589" w:rsidP="00AB4589">
            <w:pPr>
              <w:tabs>
                <w:tab w:val="left" w:pos="567"/>
                <w:tab w:val="left" w:pos="1134"/>
              </w:tabs>
              <w:spacing w:after="0"/>
              <w:jc w:val="center"/>
              <w:rPr>
                <w:rFonts w:cs="Arial"/>
                <w:b/>
              </w:rPr>
            </w:pPr>
            <w:r w:rsidRPr="00381FDB">
              <w:rPr>
                <w:rFonts w:cs="Arial"/>
                <w:b/>
              </w:rPr>
              <w:t>£m</w:t>
            </w:r>
          </w:p>
        </w:tc>
        <w:tc>
          <w:tcPr>
            <w:tcW w:w="1471" w:type="dxa"/>
            <w:shd w:val="clear" w:color="auto" w:fill="BFBFBF" w:themeFill="background1" w:themeFillShade="BF"/>
            <w:vAlign w:val="center"/>
          </w:tcPr>
          <w:p w14:paraId="0D6481A6" w14:textId="77777777" w:rsidR="00AB4589" w:rsidRPr="00381FDB" w:rsidRDefault="00AB4589" w:rsidP="00AB4589">
            <w:pPr>
              <w:tabs>
                <w:tab w:val="left" w:pos="567"/>
                <w:tab w:val="left" w:pos="1134"/>
              </w:tabs>
              <w:spacing w:after="0"/>
              <w:jc w:val="center"/>
              <w:rPr>
                <w:rFonts w:cs="Arial"/>
                <w:b/>
              </w:rPr>
            </w:pPr>
            <w:r w:rsidRPr="00381FDB">
              <w:rPr>
                <w:rFonts w:cs="Arial"/>
                <w:b/>
              </w:rPr>
              <w:t>2021/22</w:t>
            </w:r>
          </w:p>
          <w:p w14:paraId="63CE7AAB" w14:textId="77777777" w:rsidR="00AB4589" w:rsidRPr="00381FDB" w:rsidRDefault="00AB4589" w:rsidP="00AB4589">
            <w:pPr>
              <w:tabs>
                <w:tab w:val="left" w:pos="567"/>
                <w:tab w:val="left" w:pos="1134"/>
              </w:tabs>
              <w:spacing w:after="0"/>
              <w:jc w:val="center"/>
              <w:rPr>
                <w:rFonts w:cs="Arial"/>
                <w:b/>
              </w:rPr>
            </w:pPr>
            <w:r w:rsidRPr="00381FDB">
              <w:rPr>
                <w:rFonts w:cs="Arial"/>
                <w:b/>
              </w:rPr>
              <w:t>£m</w:t>
            </w:r>
          </w:p>
        </w:tc>
        <w:tc>
          <w:tcPr>
            <w:tcW w:w="1559" w:type="dxa"/>
            <w:shd w:val="clear" w:color="auto" w:fill="BFBFBF" w:themeFill="background1" w:themeFillShade="BF"/>
            <w:vAlign w:val="center"/>
          </w:tcPr>
          <w:p w14:paraId="0344E943" w14:textId="77777777" w:rsidR="00AB4589" w:rsidRPr="00381FDB" w:rsidRDefault="00AB4589" w:rsidP="00AB4589">
            <w:pPr>
              <w:tabs>
                <w:tab w:val="left" w:pos="567"/>
                <w:tab w:val="left" w:pos="1134"/>
              </w:tabs>
              <w:spacing w:after="0"/>
              <w:jc w:val="center"/>
              <w:rPr>
                <w:rFonts w:cs="Arial"/>
                <w:b/>
              </w:rPr>
            </w:pPr>
            <w:r w:rsidRPr="00381FDB">
              <w:rPr>
                <w:rFonts w:cs="Arial"/>
                <w:b/>
              </w:rPr>
              <w:t>2022/23</w:t>
            </w:r>
          </w:p>
          <w:p w14:paraId="05B55B7A" w14:textId="77777777" w:rsidR="00AB4589" w:rsidRPr="00381FDB" w:rsidRDefault="00AB4589" w:rsidP="00AB4589">
            <w:pPr>
              <w:tabs>
                <w:tab w:val="left" w:pos="567"/>
                <w:tab w:val="left" w:pos="1134"/>
              </w:tabs>
              <w:spacing w:after="0"/>
              <w:jc w:val="center"/>
              <w:rPr>
                <w:rFonts w:cs="Arial"/>
                <w:b/>
              </w:rPr>
            </w:pPr>
            <w:r w:rsidRPr="00381FDB">
              <w:rPr>
                <w:rFonts w:cs="Arial"/>
                <w:b/>
              </w:rPr>
              <w:t>£m</w:t>
            </w:r>
          </w:p>
        </w:tc>
        <w:tc>
          <w:tcPr>
            <w:tcW w:w="1418" w:type="dxa"/>
            <w:shd w:val="clear" w:color="auto" w:fill="BFBFBF" w:themeFill="background1" w:themeFillShade="BF"/>
            <w:vAlign w:val="center"/>
          </w:tcPr>
          <w:p w14:paraId="19830A47" w14:textId="77777777" w:rsidR="00AB4589" w:rsidRPr="00381FDB" w:rsidRDefault="00AB4589" w:rsidP="00AB4589">
            <w:pPr>
              <w:tabs>
                <w:tab w:val="left" w:pos="567"/>
                <w:tab w:val="left" w:pos="1134"/>
              </w:tabs>
              <w:spacing w:after="0"/>
              <w:jc w:val="center"/>
              <w:rPr>
                <w:rFonts w:cs="Arial"/>
                <w:b/>
              </w:rPr>
            </w:pPr>
            <w:r w:rsidRPr="00381FDB">
              <w:rPr>
                <w:rFonts w:cs="Arial"/>
                <w:b/>
              </w:rPr>
              <w:t>2023/24</w:t>
            </w:r>
          </w:p>
          <w:p w14:paraId="532DFDAE" w14:textId="77777777" w:rsidR="00AB4589" w:rsidRPr="00381FDB" w:rsidRDefault="00AB4589" w:rsidP="00AB4589">
            <w:pPr>
              <w:tabs>
                <w:tab w:val="left" w:pos="567"/>
                <w:tab w:val="left" w:pos="1134"/>
              </w:tabs>
              <w:spacing w:after="0"/>
              <w:jc w:val="center"/>
              <w:rPr>
                <w:rFonts w:cs="Arial"/>
                <w:b/>
              </w:rPr>
            </w:pPr>
            <w:r w:rsidRPr="00381FDB">
              <w:rPr>
                <w:rFonts w:cs="Arial"/>
                <w:b/>
              </w:rPr>
              <w:t>£m</w:t>
            </w:r>
          </w:p>
        </w:tc>
        <w:tc>
          <w:tcPr>
            <w:tcW w:w="1417" w:type="dxa"/>
            <w:shd w:val="clear" w:color="auto" w:fill="BFBFBF" w:themeFill="background1" w:themeFillShade="BF"/>
            <w:vAlign w:val="center"/>
          </w:tcPr>
          <w:p w14:paraId="2669DA23" w14:textId="77777777" w:rsidR="00AB4589" w:rsidRPr="00381FDB" w:rsidRDefault="00AB4589" w:rsidP="00AB4589">
            <w:pPr>
              <w:tabs>
                <w:tab w:val="left" w:pos="567"/>
                <w:tab w:val="left" w:pos="1134"/>
              </w:tabs>
              <w:spacing w:after="0"/>
              <w:jc w:val="center"/>
              <w:rPr>
                <w:rFonts w:cs="Arial"/>
                <w:b/>
              </w:rPr>
            </w:pPr>
            <w:r w:rsidRPr="00381FDB">
              <w:rPr>
                <w:rFonts w:cs="Arial"/>
                <w:b/>
              </w:rPr>
              <w:t>Total</w:t>
            </w:r>
          </w:p>
          <w:p w14:paraId="45E22B4F" w14:textId="77777777" w:rsidR="00AB4589" w:rsidRPr="00381FDB" w:rsidRDefault="00AB4589" w:rsidP="00AB4589">
            <w:pPr>
              <w:tabs>
                <w:tab w:val="left" w:pos="567"/>
                <w:tab w:val="left" w:pos="1134"/>
              </w:tabs>
              <w:spacing w:after="0"/>
              <w:jc w:val="center"/>
              <w:rPr>
                <w:rFonts w:cs="Arial"/>
                <w:b/>
              </w:rPr>
            </w:pPr>
            <w:r w:rsidRPr="00381FDB">
              <w:rPr>
                <w:rFonts w:cs="Arial"/>
                <w:b/>
              </w:rPr>
              <w:t>£m</w:t>
            </w:r>
          </w:p>
        </w:tc>
      </w:tr>
      <w:tr w:rsidR="0015230B" w14:paraId="3E4F2609" w14:textId="77777777" w:rsidTr="00AB4589">
        <w:trPr>
          <w:trHeight w:val="404"/>
        </w:trPr>
        <w:tc>
          <w:tcPr>
            <w:tcW w:w="2405" w:type="dxa"/>
            <w:vAlign w:val="center"/>
          </w:tcPr>
          <w:p w14:paraId="0ACB6FF7" w14:textId="77777777" w:rsidR="00AB4589" w:rsidRPr="00381FDB" w:rsidRDefault="00AB4589" w:rsidP="00AB4589">
            <w:pPr>
              <w:tabs>
                <w:tab w:val="left" w:pos="567"/>
                <w:tab w:val="left" w:pos="1134"/>
              </w:tabs>
              <w:spacing w:after="0"/>
              <w:jc w:val="left"/>
              <w:rPr>
                <w:rFonts w:cs="Arial"/>
              </w:rPr>
            </w:pPr>
            <w:r w:rsidRPr="00381FDB">
              <w:rPr>
                <w:rFonts w:cs="Arial"/>
              </w:rPr>
              <w:t xml:space="preserve">Employee </w:t>
            </w:r>
            <w:r>
              <w:rPr>
                <w:rFonts w:cs="Arial"/>
              </w:rPr>
              <w:t>c</w:t>
            </w:r>
            <w:r w:rsidRPr="00381FDB">
              <w:rPr>
                <w:rFonts w:cs="Arial"/>
              </w:rPr>
              <w:t>osts</w:t>
            </w:r>
          </w:p>
        </w:tc>
        <w:tc>
          <w:tcPr>
            <w:tcW w:w="1506" w:type="dxa"/>
            <w:vAlign w:val="center"/>
          </w:tcPr>
          <w:p w14:paraId="3992FBD2" w14:textId="77777777" w:rsidR="00AB4589" w:rsidRPr="00381FDB" w:rsidRDefault="00AB4589" w:rsidP="00AB4589">
            <w:pPr>
              <w:tabs>
                <w:tab w:val="left" w:pos="567"/>
                <w:tab w:val="left" w:pos="1134"/>
              </w:tabs>
              <w:spacing w:after="0"/>
              <w:jc w:val="right"/>
              <w:rPr>
                <w:rFonts w:cs="Arial"/>
              </w:rPr>
            </w:pPr>
            <w:r w:rsidRPr="00381FDB">
              <w:rPr>
                <w:rFonts w:cs="Arial"/>
              </w:rPr>
              <w:t xml:space="preserve">      11.351 </w:t>
            </w:r>
          </w:p>
        </w:tc>
        <w:tc>
          <w:tcPr>
            <w:tcW w:w="1471" w:type="dxa"/>
            <w:vAlign w:val="center"/>
          </w:tcPr>
          <w:p w14:paraId="56D37DC1" w14:textId="77777777" w:rsidR="00AB4589" w:rsidRPr="00381FDB" w:rsidRDefault="00AB4589" w:rsidP="00AB4589">
            <w:pPr>
              <w:tabs>
                <w:tab w:val="left" w:pos="567"/>
                <w:tab w:val="left" w:pos="1134"/>
              </w:tabs>
              <w:spacing w:after="0"/>
              <w:jc w:val="right"/>
              <w:rPr>
                <w:rFonts w:cs="Arial"/>
              </w:rPr>
            </w:pPr>
            <w:r w:rsidRPr="00381FDB">
              <w:rPr>
                <w:rFonts w:cs="Arial"/>
              </w:rPr>
              <w:t xml:space="preserve">        7.461 </w:t>
            </w:r>
          </w:p>
        </w:tc>
        <w:tc>
          <w:tcPr>
            <w:tcW w:w="1559" w:type="dxa"/>
            <w:vAlign w:val="center"/>
          </w:tcPr>
          <w:p w14:paraId="0A8C467C" w14:textId="77777777" w:rsidR="00AB4589" w:rsidRPr="00381FDB" w:rsidRDefault="00AB4589" w:rsidP="00AB4589">
            <w:pPr>
              <w:tabs>
                <w:tab w:val="left" w:pos="567"/>
                <w:tab w:val="left" w:pos="1134"/>
              </w:tabs>
              <w:spacing w:after="0"/>
              <w:jc w:val="right"/>
              <w:rPr>
                <w:rFonts w:cs="Arial"/>
              </w:rPr>
            </w:pPr>
            <w:r w:rsidRPr="00381FDB">
              <w:rPr>
                <w:rFonts w:cs="Arial"/>
              </w:rPr>
              <w:t xml:space="preserve">        7.195 </w:t>
            </w:r>
          </w:p>
        </w:tc>
        <w:tc>
          <w:tcPr>
            <w:tcW w:w="1418" w:type="dxa"/>
            <w:vAlign w:val="center"/>
          </w:tcPr>
          <w:p w14:paraId="4278AFB4" w14:textId="77777777" w:rsidR="00AB4589" w:rsidRPr="00381FDB" w:rsidRDefault="00AB4589" w:rsidP="00AB4589">
            <w:pPr>
              <w:tabs>
                <w:tab w:val="left" w:pos="567"/>
                <w:tab w:val="left" w:pos="1134"/>
              </w:tabs>
              <w:spacing w:after="0"/>
              <w:jc w:val="right"/>
              <w:rPr>
                <w:rFonts w:cs="Arial"/>
                <w:b/>
              </w:rPr>
            </w:pPr>
            <w:r w:rsidRPr="00381FDB">
              <w:rPr>
                <w:rFonts w:cs="Arial"/>
              </w:rPr>
              <w:t xml:space="preserve">        7.209 </w:t>
            </w:r>
          </w:p>
        </w:tc>
        <w:tc>
          <w:tcPr>
            <w:tcW w:w="1417" w:type="dxa"/>
            <w:vAlign w:val="center"/>
          </w:tcPr>
          <w:p w14:paraId="2AF9701F" w14:textId="77777777" w:rsidR="00AB4589" w:rsidRPr="00381FDB" w:rsidRDefault="00AB4589" w:rsidP="00AB4589">
            <w:pPr>
              <w:tabs>
                <w:tab w:val="left" w:pos="567"/>
                <w:tab w:val="left" w:pos="1134"/>
              </w:tabs>
              <w:spacing w:after="0"/>
              <w:jc w:val="right"/>
              <w:rPr>
                <w:rFonts w:cs="Arial"/>
                <w:b/>
              </w:rPr>
            </w:pPr>
            <w:r w:rsidRPr="00381FDB">
              <w:rPr>
                <w:rFonts w:cs="Arial"/>
                <w:b/>
              </w:rPr>
              <w:t>33.</w:t>
            </w:r>
            <w:r>
              <w:rPr>
                <w:rFonts w:cs="Arial"/>
                <w:b/>
              </w:rPr>
              <w:t>21</w:t>
            </w:r>
            <w:r w:rsidRPr="00381FDB">
              <w:rPr>
                <w:rFonts w:cs="Arial"/>
                <w:b/>
              </w:rPr>
              <w:t>6</w:t>
            </w:r>
          </w:p>
        </w:tc>
      </w:tr>
      <w:tr w:rsidR="0015230B" w14:paraId="228F54D8" w14:textId="77777777" w:rsidTr="00AB4589">
        <w:trPr>
          <w:trHeight w:val="404"/>
        </w:trPr>
        <w:tc>
          <w:tcPr>
            <w:tcW w:w="2405" w:type="dxa"/>
            <w:vAlign w:val="center"/>
          </w:tcPr>
          <w:p w14:paraId="7D72F9C3" w14:textId="77777777" w:rsidR="00AB4589" w:rsidRPr="00381FDB" w:rsidRDefault="00AB4589" w:rsidP="00AB4589">
            <w:pPr>
              <w:tabs>
                <w:tab w:val="left" w:pos="567"/>
                <w:tab w:val="left" w:pos="1134"/>
              </w:tabs>
              <w:spacing w:after="0"/>
              <w:jc w:val="left"/>
              <w:rPr>
                <w:rFonts w:cs="Arial"/>
              </w:rPr>
            </w:pPr>
            <w:r w:rsidRPr="00381FDB">
              <w:rPr>
                <w:rFonts w:cs="Arial"/>
              </w:rPr>
              <w:t xml:space="preserve">Pensions </w:t>
            </w:r>
            <w:r>
              <w:rPr>
                <w:rFonts w:cs="Arial"/>
              </w:rPr>
              <w:t>c</w:t>
            </w:r>
            <w:r w:rsidRPr="00381FDB">
              <w:rPr>
                <w:rFonts w:cs="Arial"/>
              </w:rPr>
              <w:t>osts</w:t>
            </w:r>
          </w:p>
        </w:tc>
        <w:tc>
          <w:tcPr>
            <w:tcW w:w="1506" w:type="dxa"/>
            <w:vAlign w:val="center"/>
          </w:tcPr>
          <w:p w14:paraId="3EE4AD85" w14:textId="77777777" w:rsidR="00AB4589" w:rsidRPr="00381FDB" w:rsidRDefault="00AB4589" w:rsidP="00AB4589">
            <w:pPr>
              <w:tabs>
                <w:tab w:val="left" w:pos="567"/>
                <w:tab w:val="left" w:pos="1134"/>
              </w:tabs>
              <w:spacing w:after="0"/>
              <w:jc w:val="right"/>
              <w:rPr>
                <w:rFonts w:cs="Arial"/>
              </w:rPr>
            </w:pPr>
            <w:r w:rsidRPr="00381FDB">
              <w:rPr>
                <w:rFonts w:cs="Arial"/>
              </w:rPr>
              <w:t xml:space="preserve">- 6.026 </w:t>
            </w:r>
          </w:p>
        </w:tc>
        <w:tc>
          <w:tcPr>
            <w:tcW w:w="1471" w:type="dxa"/>
            <w:vAlign w:val="center"/>
          </w:tcPr>
          <w:p w14:paraId="65E18E92" w14:textId="77777777" w:rsidR="00AB4589" w:rsidRPr="00381FDB" w:rsidRDefault="00AB4589" w:rsidP="00AB4589">
            <w:pPr>
              <w:tabs>
                <w:tab w:val="left" w:pos="567"/>
                <w:tab w:val="left" w:pos="1134"/>
              </w:tabs>
              <w:spacing w:after="0"/>
              <w:jc w:val="right"/>
              <w:rPr>
                <w:rFonts w:cs="Arial"/>
              </w:rPr>
            </w:pPr>
            <w:r w:rsidRPr="00381FDB">
              <w:rPr>
                <w:rFonts w:cs="Arial"/>
              </w:rPr>
              <w:t xml:space="preserve">        0.374 </w:t>
            </w:r>
          </w:p>
        </w:tc>
        <w:tc>
          <w:tcPr>
            <w:tcW w:w="1559" w:type="dxa"/>
            <w:vAlign w:val="center"/>
          </w:tcPr>
          <w:p w14:paraId="19276D47" w14:textId="77777777" w:rsidR="00AB4589" w:rsidRPr="00381FDB" w:rsidRDefault="00AB4589" w:rsidP="00AB4589">
            <w:pPr>
              <w:tabs>
                <w:tab w:val="left" w:pos="567"/>
                <w:tab w:val="left" w:pos="1134"/>
              </w:tabs>
              <w:spacing w:after="0"/>
              <w:jc w:val="right"/>
              <w:rPr>
                <w:rFonts w:cs="Arial"/>
              </w:rPr>
            </w:pPr>
            <w:r w:rsidRPr="00381FDB">
              <w:rPr>
                <w:rFonts w:cs="Arial"/>
              </w:rPr>
              <w:t xml:space="preserve">        0.374 </w:t>
            </w:r>
          </w:p>
        </w:tc>
        <w:tc>
          <w:tcPr>
            <w:tcW w:w="1418" w:type="dxa"/>
            <w:vAlign w:val="center"/>
          </w:tcPr>
          <w:p w14:paraId="18980866" w14:textId="77777777" w:rsidR="00AB4589" w:rsidRPr="00381FDB" w:rsidRDefault="00AB4589" w:rsidP="00AB4589">
            <w:pPr>
              <w:tabs>
                <w:tab w:val="left" w:pos="567"/>
                <w:tab w:val="left" w:pos="1134"/>
              </w:tabs>
              <w:spacing w:after="0"/>
              <w:jc w:val="right"/>
              <w:rPr>
                <w:rFonts w:cs="Arial"/>
                <w:b/>
              </w:rPr>
            </w:pPr>
            <w:r w:rsidRPr="00381FDB">
              <w:rPr>
                <w:rFonts w:cs="Arial"/>
              </w:rPr>
              <w:t xml:space="preserve">        0.374 </w:t>
            </w:r>
          </w:p>
        </w:tc>
        <w:tc>
          <w:tcPr>
            <w:tcW w:w="1417" w:type="dxa"/>
            <w:vAlign w:val="center"/>
          </w:tcPr>
          <w:p w14:paraId="1B86EF19" w14:textId="77777777" w:rsidR="00AB4589" w:rsidRPr="00381FDB" w:rsidRDefault="00AB4589" w:rsidP="00AB4589">
            <w:pPr>
              <w:tabs>
                <w:tab w:val="left" w:pos="567"/>
                <w:tab w:val="left" w:pos="1134"/>
              </w:tabs>
              <w:spacing w:after="0"/>
              <w:jc w:val="right"/>
              <w:rPr>
                <w:rFonts w:cs="Arial"/>
                <w:b/>
              </w:rPr>
            </w:pPr>
            <w:r w:rsidRPr="00381FDB">
              <w:rPr>
                <w:rFonts w:cs="Arial"/>
                <w:b/>
              </w:rPr>
              <w:t>-</w:t>
            </w:r>
            <w:r>
              <w:rPr>
                <w:rFonts w:cs="Arial"/>
                <w:b/>
              </w:rPr>
              <w:t>4.904</w:t>
            </w:r>
          </w:p>
        </w:tc>
      </w:tr>
      <w:tr w:rsidR="0015230B" w14:paraId="6BC6A6D1" w14:textId="77777777" w:rsidTr="00AB4589">
        <w:trPr>
          <w:trHeight w:val="404"/>
        </w:trPr>
        <w:tc>
          <w:tcPr>
            <w:tcW w:w="2405" w:type="dxa"/>
            <w:vAlign w:val="center"/>
          </w:tcPr>
          <w:p w14:paraId="6FB6B63C" w14:textId="77777777" w:rsidR="00AB4589" w:rsidRPr="00381FDB" w:rsidRDefault="00AB4589" w:rsidP="00AB4589">
            <w:pPr>
              <w:tabs>
                <w:tab w:val="left" w:pos="567"/>
                <w:tab w:val="left" w:pos="1134"/>
              </w:tabs>
              <w:spacing w:after="0"/>
              <w:jc w:val="left"/>
              <w:rPr>
                <w:rFonts w:cs="Arial"/>
              </w:rPr>
            </w:pPr>
            <w:r w:rsidRPr="00381FDB">
              <w:rPr>
                <w:rFonts w:cs="Arial"/>
              </w:rPr>
              <w:t>Other pay related costs</w:t>
            </w:r>
          </w:p>
        </w:tc>
        <w:tc>
          <w:tcPr>
            <w:tcW w:w="1506" w:type="dxa"/>
            <w:vAlign w:val="center"/>
          </w:tcPr>
          <w:p w14:paraId="4F7A1ED9" w14:textId="77777777" w:rsidR="00AB4589" w:rsidRPr="00381FDB" w:rsidRDefault="00AB4589" w:rsidP="00AB4589">
            <w:pPr>
              <w:tabs>
                <w:tab w:val="left" w:pos="567"/>
                <w:tab w:val="left" w:pos="1134"/>
              </w:tabs>
              <w:spacing w:after="0"/>
              <w:jc w:val="right"/>
              <w:rPr>
                <w:rFonts w:cs="Arial"/>
              </w:rPr>
            </w:pPr>
            <w:r w:rsidRPr="00381FDB">
              <w:rPr>
                <w:rFonts w:cs="Arial"/>
              </w:rPr>
              <w:t xml:space="preserve">        0.068 </w:t>
            </w:r>
          </w:p>
        </w:tc>
        <w:tc>
          <w:tcPr>
            <w:tcW w:w="1471" w:type="dxa"/>
            <w:vAlign w:val="center"/>
          </w:tcPr>
          <w:p w14:paraId="1AFE38D6" w14:textId="77777777" w:rsidR="00AB4589" w:rsidRPr="00381FDB" w:rsidRDefault="00AB4589" w:rsidP="00AB4589">
            <w:pPr>
              <w:tabs>
                <w:tab w:val="left" w:pos="567"/>
                <w:tab w:val="left" w:pos="1134"/>
              </w:tabs>
              <w:spacing w:after="0"/>
              <w:jc w:val="right"/>
              <w:rPr>
                <w:rFonts w:cs="Arial"/>
              </w:rPr>
            </w:pPr>
            <w:r w:rsidRPr="00381FDB">
              <w:rPr>
                <w:rFonts w:cs="Arial"/>
              </w:rPr>
              <w:t xml:space="preserve">        0.051 </w:t>
            </w:r>
          </w:p>
        </w:tc>
        <w:tc>
          <w:tcPr>
            <w:tcW w:w="1559" w:type="dxa"/>
            <w:vAlign w:val="center"/>
          </w:tcPr>
          <w:p w14:paraId="25D72097" w14:textId="77777777" w:rsidR="00AB4589" w:rsidRPr="00381FDB" w:rsidRDefault="00AB4589" w:rsidP="00AB4589">
            <w:pPr>
              <w:tabs>
                <w:tab w:val="left" w:pos="567"/>
                <w:tab w:val="left" w:pos="1134"/>
              </w:tabs>
              <w:spacing w:after="0"/>
              <w:jc w:val="right"/>
              <w:rPr>
                <w:rFonts w:cs="Arial"/>
              </w:rPr>
            </w:pPr>
            <w:r w:rsidRPr="00381FDB">
              <w:rPr>
                <w:rFonts w:cs="Arial"/>
              </w:rPr>
              <w:t xml:space="preserve">        0.052 </w:t>
            </w:r>
          </w:p>
        </w:tc>
        <w:tc>
          <w:tcPr>
            <w:tcW w:w="1418" w:type="dxa"/>
            <w:vAlign w:val="center"/>
          </w:tcPr>
          <w:p w14:paraId="490A1932" w14:textId="77777777" w:rsidR="00AB4589" w:rsidRPr="00381FDB" w:rsidRDefault="00AB4589" w:rsidP="00AB4589">
            <w:pPr>
              <w:tabs>
                <w:tab w:val="left" w:pos="567"/>
                <w:tab w:val="left" w:pos="1134"/>
              </w:tabs>
              <w:spacing w:after="0"/>
              <w:jc w:val="right"/>
              <w:rPr>
                <w:rFonts w:cs="Arial"/>
                <w:b/>
              </w:rPr>
            </w:pPr>
            <w:r w:rsidRPr="00381FDB">
              <w:rPr>
                <w:rFonts w:cs="Arial"/>
              </w:rPr>
              <w:t xml:space="preserve">        0.050 </w:t>
            </w:r>
          </w:p>
        </w:tc>
        <w:tc>
          <w:tcPr>
            <w:tcW w:w="1417" w:type="dxa"/>
            <w:vAlign w:val="center"/>
          </w:tcPr>
          <w:p w14:paraId="237572ED" w14:textId="77777777" w:rsidR="00AB4589" w:rsidRPr="00381FDB" w:rsidRDefault="00AB4589" w:rsidP="00AB4589">
            <w:pPr>
              <w:tabs>
                <w:tab w:val="left" w:pos="567"/>
                <w:tab w:val="left" w:pos="1134"/>
              </w:tabs>
              <w:spacing w:after="0"/>
              <w:jc w:val="right"/>
              <w:rPr>
                <w:rFonts w:cs="Arial"/>
                <w:b/>
              </w:rPr>
            </w:pPr>
            <w:r w:rsidRPr="00381FDB">
              <w:rPr>
                <w:rFonts w:cs="Arial"/>
                <w:b/>
              </w:rPr>
              <w:t>0.</w:t>
            </w:r>
            <w:r>
              <w:rPr>
                <w:rFonts w:cs="Arial"/>
                <w:b/>
              </w:rPr>
              <w:t>22</w:t>
            </w:r>
            <w:r w:rsidRPr="00381FDB">
              <w:rPr>
                <w:rFonts w:cs="Arial"/>
                <w:b/>
              </w:rPr>
              <w:t>1</w:t>
            </w:r>
          </w:p>
        </w:tc>
      </w:tr>
      <w:tr w:rsidR="0015230B" w14:paraId="57E11428" w14:textId="77777777" w:rsidTr="00AB4589">
        <w:trPr>
          <w:trHeight w:val="689"/>
        </w:trPr>
        <w:tc>
          <w:tcPr>
            <w:tcW w:w="2405" w:type="dxa"/>
            <w:vAlign w:val="center"/>
          </w:tcPr>
          <w:p w14:paraId="3EFA8D06" w14:textId="77777777" w:rsidR="00AB4589" w:rsidRPr="00381FDB" w:rsidRDefault="00AB4589" w:rsidP="00AB4589">
            <w:pPr>
              <w:tabs>
                <w:tab w:val="left" w:pos="567"/>
                <w:tab w:val="left" w:pos="1134"/>
              </w:tabs>
              <w:spacing w:after="0"/>
              <w:jc w:val="left"/>
              <w:rPr>
                <w:rFonts w:cs="Arial"/>
                <w:b/>
              </w:rPr>
            </w:pPr>
            <w:r w:rsidRPr="00381FDB">
              <w:rPr>
                <w:rFonts w:cs="Arial"/>
                <w:b/>
              </w:rPr>
              <w:t xml:space="preserve">Revised </w:t>
            </w:r>
            <w:r>
              <w:rPr>
                <w:rFonts w:cs="Arial"/>
                <w:b/>
              </w:rPr>
              <w:t>p</w:t>
            </w:r>
            <w:r w:rsidRPr="00381FDB">
              <w:rPr>
                <w:rFonts w:cs="Arial"/>
                <w:b/>
              </w:rPr>
              <w:t xml:space="preserve">ay and </w:t>
            </w:r>
            <w:r>
              <w:rPr>
                <w:rFonts w:cs="Arial"/>
                <w:b/>
              </w:rPr>
              <w:t>p</w:t>
            </w:r>
            <w:r w:rsidRPr="00381FDB">
              <w:rPr>
                <w:rFonts w:cs="Arial"/>
                <w:b/>
              </w:rPr>
              <w:t>ension requirements</w:t>
            </w:r>
          </w:p>
        </w:tc>
        <w:tc>
          <w:tcPr>
            <w:tcW w:w="1506" w:type="dxa"/>
            <w:vAlign w:val="center"/>
          </w:tcPr>
          <w:p w14:paraId="2D00E4A4" w14:textId="77777777" w:rsidR="00AB4589" w:rsidRPr="00381FDB" w:rsidRDefault="00AB4589" w:rsidP="00AB4589">
            <w:pPr>
              <w:tabs>
                <w:tab w:val="left" w:pos="567"/>
                <w:tab w:val="left" w:pos="1134"/>
              </w:tabs>
              <w:spacing w:after="0"/>
              <w:jc w:val="right"/>
              <w:rPr>
                <w:rFonts w:cs="Arial"/>
                <w:b/>
              </w:rPr>
            </w:pPr>
            <w:r w:rsidRPr="00381FDB">
              <w:rPr>
                <w:rFonts w:cs="Arial"/>
                <w:b/>
                <w:bCs/>
              </w:rPr>
              <w:t xml:space="preserve">        5.393 </w:t>
            </w:r>
          </w:p>
        </w:tc>
        <w:tc>
          <w:tcPr>
            <w:tcW w:w="1471" w:type="dxa"/>
            <w:vAlign w:val="center"/>
          </w:tcPr>
          <w:p w14:paraId="165029AB" w14:textId="77777777" w:rsidR="00AB4589" w:rsidRPr="00381FDB" w:rsidRDefault="00AB4589" w:rsidP="00AB4589">
            <w:pPr>
              <w:tabs>
                <w:tab w:val="left" w:pos="567"/>
                <w:tab w:val="left" w:pos="1134"/>
              </w:tabs>
              <w:spacing w:after="0"/>
              <w:jc w:val="right"/>
              <w:rPr>
                <w:rFonts w:cs="Arial"/>
                <w:b/>
              </w:rPr>
            </w:pPr>
            <w:r w:rsidRPr="00381FDB">
              <w:rPr>
                <w:rFonts w:cs="Arial"/>
                <w:b/>
                <w:bCs/>
              </w:rPr>
              <w:t xml:space="preserve">        7.886 </w:t>
            </w:r>
          </w:p>
        </w:tc>
        <w:tc>
          <w:tcPr>
            <w:tcW w:w="1559" w:type="dxa"/>
            <w:vAlign w:val="center"/>
          </w:tcPr>
          <w:p w14:paraId="1C5B408B" w14:textId="77777777" w:rsidR="00AB4589" w:rsidRPr="00381FDB" w:rsidRDefault="00AB4589" w:rsidP="00AB4589">
            <w:pPr>
              <w:tabs>
                <w:tab w:val="left" w:pos="567"/>
                <w:tab w:val="left" w:pos="1134"/>
              </w:tabs>
              <w:spacing w:after="0"/>
              <w:jc w:val="right"/>
              <w:rPr>
                <w:rFonts w:cs="Arial"/>
                <w:b/>
              </w:rPr>
            </w:pPr>
            <w:r w:rsidRPr="00381FDB">
              <w:rPr>
                <w:rFonts w:cs="Arial"/>
                <w:b/>
                <w:bCs/>
              </w:rPr>
              <w:t xml:space="preserve">        7.621 </w:t>
            </w:r>
          </w:p>
        </w:tc>
        <w:tc>
          <w:tcPr>
            <w:tcW w:w="1418" w:type="dxa"/>
            <w:vAlign w:val="center"/>
          </w:tcPr>
          <w:p w14:paraId="73C7C98B" w14:textId="77777777" w:rsidR="00AB4589" w:rsidRPr="00381FDB" w:rsidRDefault="00AB4589" w:rsidP="00AB4589">
            <w:pPr>
              <w:tabs>
                <w:tab w:val="left" w:pos="567"/>
                <w:tab w:val="left" w:pos="1134"/>
              </w:tabs>
              <w:spacing w:after="0"/>
              <w:jc w:val="right"/>
              <w:rPr>
                <w:rFonts w:cs="Arial"/>
                <w:b/>
              </w:rPr>
            </w:pPr>
            <w:r w:rsidRPr="00381FDB">
              <w:rPr>
                <w:rFonts w:cs="Arial"/>
                <w:b/>
                <w:bCs/>
              </w:rPr>
              <w:t xml:space="preserve">        7.633 </w:t>
            </w:r>
          </w:p>
        </w:tc>
        <w:tc>
          <w:tcPr>
            <w:tcW w:w="1417" w:type="dxa"/>
            <w:vAlign w:val="center"/>
          </w:tcPr>
          <w:p w14:paraId="528BCA6A" w14:textId="77777777" w:rsidR="00AB4589" w:rsidRPr="00381FDB" w:rsidRDefault="00AB4589" w:rsidP="00AB4589">
            <w:pPr>
              <w:tabs>
                <w:tab w:val="left" w:pos="567"/>
                <w:tab w:val="left" w:pos="1134"/>
              </w:tabs>
              <w:spacing w:after="0"/>
              <w:jc w:val="right"/>
              <w:rPr>
                <w:rFonts w:cs="Arial"/>
                <w:b/>
              </w:rPr>
            </w:pPr>
            <w:r>
              <w:rPr>
                <w:rFonts w:cs="Arial"/>
                <w:b/>
              </w:rPr>
              <w:t>28.533</w:t>
            </w:r>
          </w:p>
        </w:tc>
      </w:tr>
      <w:tr w:rsidR="0015230B" w14:paraId="1B921B89" w14:textId="77777777" w:rsidTr="00AB4589">
        <w:trPr>
          <w:trHeight w:val="397"/>
        </w:trPr>
        <w:tc>
          <w:tcPr>
            <w:tcW w:w="2405" w:type="dxa"/>
            <w:vAlign w:val="center"/>
          </w:tcPr>
          <w:p w14:paraId="70CF1F97" w14:textId="77777777" w:rsidR="00AB4589" w:rsidRPr="00381FDB" w:rsidRDefault="00AB4589" w:rsidP="00AB4589">
            <w:pPr>
              <w:tabs>
                <w:tab w:val="left" w:pos="567"/>
                <w:tab w:val="left" w:pos="1134"/>
              </w:tabs>
              <w:spacing w:after="0"/>
              <w:jc w:val="left"/>
              <w:rPr>
                <w:rFonts w:cs="Arial"/>
                <w:b/>
              </w:rPr>
            </w:pPr>
          </w:p>
        </w:tc>
        <w:tc>
          <w:tcPr>
            <w:tcW w:w="1506" w:type="dxa"/>
            <w:vAlign w:val="center"/>
          </w:tcPr>
          <w:p w14:paraId="54FBD49F" w14:textId="77777777" w:rsidR="00AB4589" w:rsidRPr="00381FDB" w:rsidRDefault="00AB4589" w:rsidP="00AB4589">
            <w:pPr>
              <w:tabs>
                <w:tab w:val="left" w:pos="567"/>
                <w:tab w:val="left" w:pos="1134"/>
              </w:tabs>
              <w:spacing w:after="0"/>
              <w:jc w:val="right"/>
              <w:rPr>
                <w:rFonts w:cs="Arial"/>
                <w:b/>
              </w:rPr>
            </w:pPr>
            <w:r w:rsidRPr="00381FDB">
              <w:rPr>
                <w:rFonts w:cs="Arial"/>
                <w:b/>
                <w:bCs/>
              </w:rPr>
              <w:t> </w:t>
            </w:r>
          </w:p>
        </w:tc>
        <w:tc>
          <w:tcPr>
            <w:tcW w:w="1471" w:type="dxa"/>
            <w:vAlign w:val="center"/>
          </w:tcPr>
          <w:p w14:paraId="5C18BFD6" w14:textId="77777777" w:rsidR="00AB4589" w:rsidRPr="00381FDB" w:rsidRDefault="00AB4589" w:rsidP="00AB4589">
            <w:pPr>
              <w:tabs>
                <w:tab w:val="left" w:pos="567"/>
                <w:tab w:val="left" w:pos="1134"/>
              </w:tabs>
              <w:spacing w:after="0"/>
              <w:jc w:val="right"/>
              <w:rPr>
                <w:rFonts w:cs="Arial"/>
                <w:b/>
              </w:rPr>
            </w:pPr>
            <w:r w:rsidRPr="00381FDB">
              <w:rPr>
                <w:rFonts w:cs="Arial"/>
                <w:b/>
                <w:bCs/>
              </w:rPr>
              <w:t> </w:t>
            </w:r>
          </w:p>
        </w:tc>
        <w:tc>
          <w:tcPr>
            <w:tcW w:w="1559" w:type="dxa"/>
            <w:vAlign w:val="center"/>
          </w:tcPr>
          <w:p w14:paraId="3C845A0C" w14:textId="77777777" w:rsidR="00AB4589" w:rsidRPr="00381FDB" w:rsidRDefault="00AB4589" w:rsidP="00AB4589">
            <w:pPr>
              <w:tabs>
                <w:tab w:val="left" w:pos="567"/>
                <w:tab w:val="left" w:pos="1134"/>
              </w:tabs>
              <w:spacing w:after="0"/>
              <w:jc w:val="right"/>
              <w:rPr>
                <w:rFonts w:cs="Arial"/>
                <w:b/>
              </w:rPr>
            </w:pPr>
            <w:r w:rsidRPr="00381FDB">
              <w:rPr>
                <w:rFonts w:cs="Arial"/>
                <w:b/>
                <w:bCs/>
              </w:rPr>
              <w:t> </w:t>
            </w:r>
          </w:p>
        </w:tc>
        <w:tc>
          <w:tcPr>
            <w:tcW w:w="1418" w:type="dxa"/>
            <w:vAlign w:val="center"/>
          </w:tcPr>
          <w:p w14:paraId="3C7F4804" w14:textId="77777777" w:rsidR="00AB4589" w:rsidRPr="00381FDB" w:rsidRDefault="00AB4589" w:rsidP="00AB4589">
            <w:pPr>
              <w:tabs>
                <w:tab w:val="left" w:pos="567"/>
                <w:tab w:val="left" w:pos="1134"/>
              </w:tabs>
              <w:spacing w:after="0"/>
              <w:jc w:val="right"/>
              <w:rPr>
                <w:rFonts w:cs="Arial"/>
                <w:b/>
              </w:rPr>
            </w:pPr>
            <w:r w:rsidRPr="00381FDB">
              <w:rPr>
                <w:rFonts w:cs="Arial"/>
                <w:b/>
                <w:bCs/>
              </w:rPr>
              <w:t> </w:t>
            </w:r>
          </w:p>
        </w:tc>
        <w:tc>
          <w:tcPr>
            <w:tcW w:w="1417" w:type="dxa"/>
            <w:vAlign w:val="center"/>
          </w:tcPr>
          <w:p w14:paraId="79FA8A21" w14:textId="77777777" w:rsidR="00AB4589" w:rsidRPr="00381FDB" w:rsidRDefault="00AB4589" w:rsidP="00AB4589">
            <w:pPr>
              <w:tabs>
                <w:tab w:val="left" w:pos="567"/>
                <w:tab w:val="left" w:pos="1134"/>
              </w:tabs>
              <w:spacing w:after="0"/>
              <w:jc w:val="right"/>
              <w:rPr>
                <w:rFonts w:cs="Arial"/>
                <w:b/>
              </w:rPr>
            </w:pPr>
          </w:p>
        </w:tc>
      </w:tr>
      <w:tr w:rsidR="0015230B" w14:paraId="59BBE70B" w14:textId="77777777" w:rsidTr="00AB4589">
        <w:trPr>
          <w:trHeight w:val="689"/>
        </w:trPr>
        <w:tc>
          <w:tcPr>
            <w:tcW w:w="2405" w:type="dxa"/>
            <w:vAlign w:val="center"/>
          </w:tcPr>
          <w:p w14:paraId="4F3720DF" w14:textId="77777777" w:rsidR="00AB4589" w:rsidRPr="00381FDB" w:rsidRDefault="00AB4589" w:rsidP="00AB4589">
            <w:pPr>
              <w:tabs>
                <w:tab w:val="left" w:pos="567"/>
                <w:tab w:val="left" w:pos="1134"/>
              </w:tabs>
              <w:spacing w:after="0"/>
              <w:jc w:val="left"/>
              <w:rPr>
                <w:rFonts w:cs="Arial"/>
                <w:b/>
              </w:rPr>
            </w:pPr>
            <w:r w:rsidRPr="00381FDB">
              <w:rPr>
                <w:rFonts w:cs="Arial"/>
                <w:b/>
              </w:rPr>
              <w:t xml:space="preserve">Pay and </w:t>
            </w:r>
            <w:r>
              <w:rPr>
                <w:rFonts w:cs="Arial"/>
                <w:b/>
              </w:rPr>
              <w:t>p</w:t>
            </w:r>
            <w:r w:rsidRPr="00381FDB">
              <w:rPr>
                <w:rFonts w:cs="Arial"/>
                <w:b/>
              </w:rPr>
              <w:t>ensions -previous MTFS</w:t>
            </w:r>
          </w:p>
        </w:tc>
        <w:tc>
          <w:tcPr>
            <w:tcW w:w="1506" w:type="dxa"/>
            <w:vAlign w:val="center"/>
          </w:tcPr>
          <w:p w14:paraId="10F4FD81" w14:textId="77777777" w:rsidR="00AB4589" w:rsidRPr="00381FDB" w:rsidRDefault="00AB4589" w:rsidP="00AB4589">
            <w:pPr>
              <w:tabs>
                <w:tab w:val="left" w:pos="567"/>
                <w:tab w:val="left" w:pos="1134"/>
              </w:tabs>
              <w:spacing w:after="0"/>
              <w:jc w:val="right"/>
              <w:rPr>
                <w:rFonts w:cs="Arial"/>
                <w:b/>
              </w:rPr>
            </w:pPr>
            <w:r w:rsidRPr="00381FDB">
              <w:rPr>
                <w:rFonts w:cs="Arial"/>
                <w:b/>
                <w:bCs/>
              </w:rPr>
              <w:t>5.257</w:t>
            </w:r>
          </w:p>
        </w:tc>
        <w:tc>
          <w:tcPr>
            <w:tcW w:w="1471" w:type="dxa"/>
            <w:vAlign w:val="center"/>
          </w:tcPr>
          <w:p w14:paraId="21AE0652" w14:textId="77777777" w:rsidR="00AB4589" w:rsidRPr="00381FDB" w:rsidRDefault="00AB4589" w:rsidP="00AB4589">
            <w:pPr>
              <w:tabs>
                <w:tab w:val="left" w:pos="567"/>
                <w:tab w:val="left" w:pos="1134"/>
              </w:tabs>
              <w:spacing w:after="0"/>
              <w:jc w:val="right"/>
              <w:rPr>
                <w:rFonts w:cs="Arial"/>
                <w:b/>
              </w:rPr>
            </w:pPr>
            <w:r w:rsidRPr="00381FDB">
              <w:rPr>
                <w:rFonts w:cs="Arial"/>
                <w:b/>
                <w:bCs/>
              </w:rPr>
              <w:t>7.893</w:t>
            </w:r>
          </w:p>
        </w:tc>
        <w:tc>
          <w:tcPr>
            <w:tcW w:w="1559" w:type="dxa"/>
            <w:vAlign w:val="center"/>
          </w:tcPr>
          <w:p w14:paraId="2C354411" w14:textId="77777777" w:rsidR="00AB4589" w:rsidRPr="00381FDB" w:rsidRDefault="00AB4589" w:rsidP="00AB4589">
            <w:pPr>
              <w:tabs>
                <w:tab w:val="left" w:pos="567"/>
                <w:tab w:val="left" w:pos="1134"/>
              </w:tabs>
              <w:spacing w:after="0"/>
              <w:jc w:val="right"/>
              <w:rPr>
                <w:rFonts w:cs="Arial"/>
                <w:b/>
              </w:rPr>
            </w:pPr>
            <w:r w:rsidRPr="00381FDB">
              <w:rPr>
                <w:rFonts w:cs="Arial"/>
                <w:b/>
                <w:bCs/>
              </w:rPr>
              <w:t>7.972</w:t>
            </w:r>
          </w:p>
        </w:tc>
        <w:tc>
          <w:tcPr>
            <w:tcW w:w="1418" w:type="dxa"/>
            <w:vAlign w:val="center"/>
          </w:tcPr>
          <w:p w14:paraId="12811692" w14:textId="77777777" w:rsidR="00AB4589" w:rsidRPr="00381FDB" w:rsidRDefault="00AB4589" w:rsidP="00AB4589">
            <w:pPr>
              <w:tabs>
                <w:tab w:val="left" w:pos="567"/>
                <w:tab w:val="left" w:pos="1134"/>
              </w:tabs>
              <w:spacing w:after="0"/>
              <w:jc w:val="right"/>
              <w:rPr>
                <w:rFonts w:cs="Arial"/>
                <w:b/>
              </w:rPr>
            </w:pPr>
            <w:r w:rsidRPr="00381FDB">
              <w:rPr>
                <w:rFonts w:cs="Arial"/>
                <w:b/>
                <w:bCs/>
              </w:rPr>
              <w:t>-</w:t>
            </w:r>
          </w:p>
        </w:tc>
        <w:tc>
          <w:tcPr>
            <w:tcW w:w="1417" w:type="dxa"/>
            <w:vAlign w:val="center"/>
          </w:tcPr>
          <w:p w14:paraId="7D4BA312" w14:textId="77777777" w:rsidR="00AB4589" w:rsidRPr="00381FDB" w:rsidRDefault="00AB4589" w:rsidP="00AB4589">
            <w:pPr>
              <w:tabs>
                <w:tab w:val="left" w:pos="567"/>
                <w:tab w:val="left" w:pos="1134"/>
              </w:tabs>
              <w:spacing w:after="0"/>
              <w:jc w:val="right"/>
              <w:rPr>
                <w:rFonts w:cs="Arial"/>
                <w:b/>
              </w:rPr>
            </w:pPr>
            <w:r w:rsidRPr="00381FDB">
              <w:rPr>
                <w:rFonts w:cs="Arial"/>
                <w:b/>
              </w:rPr>
              <w:t>21.1</w:t>
            </w:r>
            <w:r>
              <w:rPr>
                <w:rFonts w:cs="Arial"/>
                <w:b/>
              </w:rPr>
              <w:t>22</w:t>
            </w:r>
          </w:p>
        </w:tc>
      </w:tr>
      <w:tr w:rsidR="0015230B" w14:paraId="6D5F4AC8" w14:textId="77777777" w:rsidTr="00AB4589">
        <w:trPr>
          <w:trHeight w:val="285"/>
        </w:trPr>
        <w:tc>
          <w:tcPr>
            <w:tcW w:w="2405" w:type="dxa"/>
            <w:vAlign w:val="center"/>
          </w:tcPr>
          <w:p w14:paraId="189B746E" w14:textId="77777777" w:rsidR="00AB4589" w:rsidRPr="00381FDB" w:rsidRDefault="00AB4589" w:rsidP="00AB4589">
            <w:pPr>
              <w:tabs>
                <w:tab w:val="left" w:pos="567"/>
                <w:tab w:val="left" w:pos="1134"/>
              </w:tabs>
              <w:spacing w:after="0"/>
              <w:jc w:val="left"/>
              <w:rPr>
                <w:rFonts w:cs="Arial"/>
              </w:rPr>
            </w:pPr>
          </w:p>
        </w:tc>
        <w:tc>
          <w:tcPr>
            <w:tcW w:w="1506" w:type="dxa"/>
            <w:vAlign w:val="center"/>
          </w:tcPr>
          <w:p w14:paraId="1ECE54DD" w14:textId="77777777" w:rsidR="00AB4589" w:rsidRPr="00381FDB" w:rsidRDefault="00AB4589" w:rsidP="00AB4589">
            <w:pPr>
              <w:tabs>
                <w:tab w:val="left" w:pos="567"/>
                <w:tab w:val="left" w:pos="1134"/>
              </w:tabs>
              <w:spacing w:after="0"/>
              <w:jc w:val="right"/>
              <w:rPr>
                <w:rFonts w:cs="Arial"/>
              </w:rPr>
            </w:pPr>
            <w:r w:rsidRPr="00381FDB">
              <w:rPr>
                <w:rFonts w:cs="Arial"/>
              </w:rPr>
              <w:t> </w:t>
            </w:r>
          </w:p>
        </w:tc>
        <w:tc>
          <w:tcPr>
            <w:tcW w:w="1471" w:type="dxa"/>
            <w:vAlign w:val="center"/>
          </w:tcPr>
          <w:p w14:paraId="6C9A5EE6" w14:textId="77777777" w:rsidR="00AB4589" w:rsidRPr="00381FDB" w:rsidRDefault="00AB4589" w:rsidP="00AB4589">
            <w:pPr>
              <w:tabs>
                <w:tab w:val="left" w:pos="567"/>
                <w:tab w:val="left" w:pos="1134"/>
              </w:tabs>
              <w:spacing w:after="0"/>
              <w:jc w:val="right"/>
              <w:rPr>
                <w:rFonts w:cs="Arial"/>
              </w:rPr>
            </w:pPr>
            <w:r w:rsidRPr="00381FDB">
              <w:rPr>
                <w:rFonts w:cs="Arial"/>
              </w:rPr>
              <w:t> </w:t>
            </w:r>
          </w:p>
        </w:tc>
        <w:tc>
          <w:tcPr>
            <w:tcW w:w="1559" w:type="dxa"/>
            <w:vAlign w:val="center"/>
          </w:tcPr>
          <w:p w14:paraId="79379BBB" w14:textId="77777777" w:rsidR="00AB4589" w:rsidRPr="00381FDB" w:rsidRDefault="00AB4589" w:rsidP="00AB4589">
            <w:pPr>
              <w:tabs>
                <w:tab w:val="left" w:pos="567"/>
                <w:tab w:val="left" w:pos="1134"/>
              </w:tabs>
              <w:spacing w:after="0"/>
              <w:jc w:val="right"/>
              <w:rPr>
                <w:rFonts w:cs="Arial"/>
                <w:b/>
              </w:rPr>
            </w:pPr>
            <w:r w:rsidRPr="00381FDB">
              <w:rPr>
                <w:rFonts w:cs="Arial"/>
                <w:b/>
                <w:bCs/>
              </w:rPr>
              <w:t> </w:t>
            </w:r>
          </w:p>
        </w:tc>
        <w:tc>
          <w:tcPr>
            <w:tcW w:w="1418" w:type="dxa"/>
            <w:vAlign w:val="center"/>
          </w:tcPr>
          <w:p w14:paraId="655E50A3" w14:textId="77777777" w:rsidR="00AB4589" w:rsidRPr="00381FDB" w:rsidRDefault="00AB4589" w:rsidP="00AB4589">
            <w:pPr>
              <w:tabs>
                <w:tab w:val="left" w:pos="567"/>
                <w:tab w:val="left" w:pos="1134"/>
              </w:tabs>
              <w:spacing w:after="0"/>
              <w:jc w:val="right"/>
              <w:rPr>
                <w:rFonts w:cs="Arial"/>
                <w:b/>
              </w:rPr>
            </w:pPr>
            <w:r w:rsidRPr="00381FDB">
              <w:rPr>
                <w:rFonts w:cs="Arial"/>
                <w:b/>
                <w:bCs/>
              </w:rPr>
              <w:t> </w:t>
            </w:r>
          </w:p>
        </w:tc>
        <w:tc>
          <w:tcPr>
            <w:tcW w:w="1417" w:type="dxa"/>
            <w:vAlign w:val="center"/>
          </w:tcPr>
          <w:p w14:paraId="6E487938" w14:textId="77777777" w:rsidR="00AB4589" w:rsidRPr="00381FDB" w:rsidRDefault="00AB4589" w:rsidP="00AB4589">
            <w:pPr>
              <w:tabs>
                <w:tab w:val="left" w:pos="567"/>
                <w:tab w:val="left" w:pos="1134"/>
              </w:tabs>
              <w:spacing w:after="0"/>
              <w:jc w:val="right"/>
              <w:rPr>
                <w:rFonts w:cs="Arial"/>
                <w:b/>
              </w:rPr>
            </w:pPr>
          </w:p>
        </w:tc>
      </w:tr>
      <w:tr w:rsidR="0015230B" w14:paraId="7385429F" w14:textId="77777777" w:rsidTr="00AB4589">
        <w:trPr>
          <w:trHeight w:val="689"/>
        </w:trPr>
        <w:tc>
          <w:tcPr>
            <w:tcW w:w="2405" w:type="dxa"/>
            <w:vAlign w:val="center"/>
          </w:tcPr>
          <w:p w14:paraId="7BC4DB28" w14:textId="77777777" w:rsidR="00AB4589" w:rsidRPr="001A7439" w:rsidRDefault="00AB4589" w:rsidP="00AB4589">
            <w:pPr>
              <w:tabs>
                <w:tab w:val="left" w:pos="567"/>
                <w:tab w:val="left" w:pos="1134"/>
              </w:tabs>
              <w:spacing w:after="0"/>
              <w:jc w:val="left"/>
              <w:rPr>
                <w:rFonts w:cs="Arial"/>
                <w:b/>
              </w:rPr>
            </w:pPr>
            <w:r w:rsidRPr="001A7439">
              <w:rPr>
                <w:rFonts w:cs="Arial"/>
                <w:b/>
              </w:rPr>
              <w:t xml:space="preserve">Impact on </w:t>
            </w:r>
            <w:r>
              <w:rPr>
                <w:rFonts w:cs="Arial"/>
                <w:b/>
              </w:rPr>
              <w:t>f</w:t>
            </w:r>
            <w:r w:rsidRPr="001A7439">
              <w:rPr>
                <w:rFonts w:cs="Arial"/>
                <w:b/>
              </w:rPr>
              <w:t xml:space="preserve">inancial </w:t>
            </w:r>
            <w:r>
              <w:rPr>
                <w:rFonts w:cs="Arial"/>
                <w:b/>
              </w:rPr>
              <w:t>g</w:t>
            </w:r>
            <w:r w:rsidRPr="001A7439">
              <w:rPr>
                <w:rFonts w:cs="Arial"/>
                <w:b/>
              </w:rPr>
              <w:t>ap</w:t>
            </w:r>
          </w:p>
        </w:tc>
        <w:tc>
          <w:tcPr>
            <w:tcW w:w="1506" w:type="dxa"/>
            <w:vAlign w:val="center"/>
          </w:tcPr>
          <w:p w14:paraId="4A187B27" w14:textId="77777777" w:rsidR="00AB4589" w:rsidRPr="00381FDB" w:rsidRDefault="00AB4589" w:rsidP="00AB4589">
            <w:pPr>
              <w:tabs>
                <w:tab w:val="left" w:pos="567"/>
                <w:tab w:val="left" w:pos="1134"/>
              </w:tabs>
              <w:spacing w:after="0"/>
              <w:rPr>
                <w:rFonts w:cs="Arial"/>
                <w:b/>
              </w:rPr>
            </w:pPr>
            <w:r w:rsidRPr="00381FDB">
              <w:rPr>
                <w:rFonts w:cs="Arial"/>
                <w:b/>
                <w:bCs/>
              </w:rPr>
              <w:t xml:space="preserve">          0.</w:t>
            </w:r>
            <w:r>
              <w:rPr>
                <w:rFonts w:cs="Arial"/>
                <w:b/>
                <w:bCs/>
              </w:rPr>
              <w:t>136</w:t>
            </w:r>
            <w:r w:rsidRPr="00381FDB">
              <w:rPr>
                <w:rFonts w:cs="Arial"/>
                <w:b/>
                <w:bCs/>
              </w:rPr>
              <w:t xml:space="preserve"> </w:t>
            </w:r>
          </w:p>
        </w:tc>
        <w:tc>
          <w:tcPr>
            <w:tcW w:w="1471" w:type="dxa"/>
            <w:vAlign w:val="center"/>
          </w:tcPr>
          <w:p w14:paraId="2839571E" w14:textId="77777777" w:rsidR="00AB4589" w:rsidRPr="00381FDB" w:rsidRDefault="00AB4589" w:rsidP="00AB4589">
            <w:pPr>
              <w:tabs>
                <w:tab w:val="left" w:pos="567"/>
                <w:tab w:val="left" w:pos="1134"/>
              </w:tabs>
              <w:spacing w:after="0"/>
              <w:jc w:val="right"/>
              <w:rPr>
                <w:rFonts w:cs="Arial"/>
                <w:b/>
              </w:rPr>
            </w:pPr>
            <w:r w:rsidRPr="00381FDB">
              <w:rPr>
                <w:rFonts w:cs="Arial"/>
                <w:b/>
                <w:bCs/>
              </w:rPr>
              <w:t>-0.007</w:t>
            </w:r>
          </w:p>
        </w:tc>
        <w:tc>
          <w:tcPr>
            <w:tcW w:w="1559" w:type="dxa"/>
            <w:vAlign w:val="center"/>
          </w:tcPr>
          <w:p w14:paraId="3ACFEC78" w14:textId="77777777" w:rsidR="00AB4589" w:rsidRPr="00381FDB" w:rsidRDefault="00AB4589" w:rsidP="00AB4589">
            <w:pPr>
              <w:tabs>
                <w:tab w:val="left" w:pos="567"/>
                <w:tab w:val="left" w:pos="1134"/>
              </w:tabs>
              <w:spacing w:after="0"/>
              <w:jc w:val="right"/>
              <w:rPr>
                <w:rFonts w:cs="Arial"/>
                <w:b/>
              </w:rPr>
            </w:pPr>
            <w:r w:rsidRPr="00381FDB">
              <w:rPr>
                <w:rFonts w:cs="Arial"/>
                <w:b/>
                <w:bCs/>
              </w:rPr>
              <w:t>-0.351</w:t>
            </w:r>
          </w:p>
        </w:tc>
        <w:tc>
          <w:tcPr>
            <w:tcW w:w="1418" w:type="dxa"/>
            <w:vAlign w:val="center"/>
          </w:tcPr>
          <w:p w14:paraId="55AF97E0" w14:textId="77777777" w:rsidR="00AB4589" w:rsidRPr="00381FDB" w:rsidRDefault="00AB4589" w:rsidP="00AB4589">
            <w:pPr>
              <w:tabs>
                <w:tab w:val="left" w:pos="567"/>
                <w:tab w:val="left" w:pos="1134"/>
              </w:tabs>
              <w:spacing w:after="0"/>
              <w:jc w:val="right"/>
              <w:rPr>
                <w:rFonts w:cs="Arial"/>
                <w:b/>
              </w:rPr>
            </w:pPr>
            <w:r w:rsidRPr="00381FDB">
              <w:rPr>
                <w:rFonts w:cs="Arial"/>
                <w:b/>
                <w:bCs/>
              </w:rPr>
              <w:t>7.633</w:t>
            </w:r>
          </w:p>
        </w:tc>
        <w:tc>
          <w:tcPr>
            <w:tcW w:w="1417" w:type="dxa"/>
            <w:vAlign w:val="center"/>
          </w:tcPr>
          <w:p w14:paraId="4C6255E0" w14:textId="77777777" w:rsidR="00AB4589" w:rsidRPr="00381FDB" w:rsidRDefault="00AB4589" w:rsidP="00AB4589">
            <w:pPr>
              <w:tabs>
                <w:tab w:val="left" w:pos="567"/>
                <w:tab w:val="left" w:pos="1134"/>
              </w:tabs>
              <w:spacing w:after="0"/>
              <w:jc w:val="right"/>
              <w:rPr>
                <w:rFonts w:cs="Arial"/>
                <w:b/>
              </w:rPr>
            </w:pPr>
            <w:r>
              <w:rPr>
                <w:rFonts w:cs="Arial"/>
                <w:b/>
              </w:rPr>
              <w:t>7.411</w:t>
            </w:r>
          </w:p>
        </w:tc>
      </w:tr>
    </w:tbl>
    <w:p w14:paraId="5A59BC34" w14:textId="77777777" w:rsidR="00AB4589" w:rsidRDefault="00AB4589" w:rsidP="00AB4589">
      <w:pPr>
        <w:spacing w:after="0"/>
        <w:rPr>
          <w:rFonts w:cs="Arial"/>
          <w:b/>
        </w:rPr>
      </w:pPr>
    </w:p>
    <w:p w14:paraId="3F960D34" w14:textId="77777777" w:rsidR="00AB4589" w:rsidRPr="001A7439" w:rsidRDefault="00AB4589" w:rsidP="00AB4589">
      <w:pPr>
        <w:spacing w:after="0"/>
        <w:rPr>
          <w:rFonts w:cs="Arial"/>
          <w:b/>
        </w:rPr>
      </w:pPr>
      <w:r w:rsidRPr="001A7439">
        <w:rPr>
          <w:rFonts w:cs="Arial"/>
          <w:b/>
        </w:rPr>
        <w:t xml:space="preserve">3.2 Price </w:t>
      </w:r>
      <w:r>
        <w:rPr>
          <w:rFonts w:cs="Arial"/>
          <w:b/>
        </w:rPr>
        <w:t>i</w:t>
      </w:r>
      <w:r w:rsidRPr="001A7439">
        <w:rPr>
          <w:rFonts w:cs="Arial"/>
          <w:b/>
        </w:rPr>
        <w:t xml:space="preserve">nflation and </w:t>
      </w:r>
      <w:r>
        <w:rPr>
          <w:rFonts w:cs="Arial"/>
          <w:b/>
        </w:rPr>
        <w:t>c</w:t>
      </w:r>
      <w:r w:rsidRPr="001A7439">
        <w:rPr>
          <w:rFonts w:cs="Arial"/>
          <w:b/>
        </w:rPr>
        <w:t xml:space="preserve">ost </w:t>
      </w:r>
      <w:r>
        <w:rPr>
          <w:rFonts w:cs="Arial"/>
          <w:b/>
        </w:rPr>
        <w:t>c</w:t>
      </w:r>
      <w:r w:rsidRPr="001A7439">
        <w:rPr>
          <w:rFonts w:cs="Arial"/>
          <w:b/>
        </w:rPr>
        <w:t>hanges</w:t>
      </w:r>
    </w:p>
    <w:p w14:paraId="7A855675" w14:textId="77777777" w:rsidR="00AB4589" w:rsidRPr="001A7439" w:rsidRDefault="00AB4589" w:rsidP="00AB4589">
      <w:pPr>
        <w:spacing w:after="0"/>
        <w:rPr>
          <w:rFonts w:cs="Arial"/>
          <w:b/>
        </w:rPr>
      </w:pPr>
    </w:p>
    <w:p w14:paraId="6852CD26" w14:textId="77777777" w:rsidR="00AB4589" w:rsidRPr="001A7439" w:rsidRDefault="00AB4589" w:rsidP="00AB4589">
      <w:pPr>
        <w:tabs>
          <w:tab w:val="left" w:pos="1134"/>
        </w:tabs>
        <w:spacing w:after="0"/>
        <w:rPr>
          <w:rFonts w:cs="Arial"/>
        </w:rPr>
      </w:pPr>
      <w:r w:rsidRPr="001A7439">
        <w:rPr>
          <w:rFonts w:cs="Arial"/>
        </w:rPr>
        <w:t xml:space="preserve">Contractual price increases represent a significant cost pressure to the county council. The assumptions have been subject to regular review by services. </w:t>
      </w:r>
    </w:p>
    <w:p w14:paraId="4B951461" w14:textId="77777777" w:rsidR="00AB4589" w:rsidRPr="00813473" w:rsidRDefault="00AB4589" w:rsidP="00AB4589">
      <w:pPr>
        <w:spacing w:after="0"/>
        <w:rPr>
          <w:rFonts w:cs="Arial"/>
          <w:highlight w:val="yellow"/>
        </w:rPr>
      </w:pPr>
      <w:r w:rsidRPr="00813473">
        <w:rPr>
          <w:rFonts w:cs="Arial"/>
          <w:highlight w:val="yellow"/>
        </w:rPr>
        <w:t xml:space="preserve"> </w:t>
      </w:r>
    </w:p>
    <w:p w14:paraId="313BA475" w14:textId="77777777" w:rsidR="00AB4589" w:rsidRPr="001A7439" w:rsidRDefault="00AB4589" w:rsidP="00AB4589">
      <w:pPr>
        <w:spacing w:after="0"/>
        <w:rPr>
          <w:rFonts w:cs="Arial"/>
          <w:b/>
          <w:i/>
          <w:u w:val="single"/>
        </w:rPr>
      </w:pPr>
      <w:r w:rsidRPr="001A7439">
        <w:rPr>
          <w:rFonts w:cs="Arial"/>
          <w:b/>
          <w:i/>
          <w:u w:val="single"/>
        </w:rPr>
        <w:t>Table 5</w:t>
      </w:r>
    </w:p>
    <w:p w14:paraId="5820E076" w14:textId="77777777" w:rsidR="00AB4589" w:rsidRDefault="00AB4589" w:rsidP="00AB4589">
      <w:pPr>
        <w:tabs>
          <w:tab w:val="left" w:pos="567"/>
          <w:tab w:val="left" w:pos="1134"/>
        </w:tabs>
        <w:spacing w:after="0"/>
        <w:rPr>
          <w:rFonts w:cs="Arial"/>
          <w:highlight w:val="yellow"/>
        </w:rPr>
      </w:pPr>
    </w:p>
    <w:tbl>
      <w:tblPr>
        <w:tblW w:w="8647" w:type="dxa"/>
        <w:tblInd w:w="-10" w:type="dxa"/>
        <w:tblLook w:val="04A0" w:firstRow="1" w:lastRow="0" w:firstColumn="1" w:lastColumn="0" w:noHBand="0" w:noVBand="1"/>
      </w:tblPr>
      <w:tblGrid>
        <w:gridCol w:w="3261"/>
        <w:gridCol w:w="1084"/>
        <w:gridCol w:w="1084"/>
        <w:gridCol w:w="1092"/>
        <w:gridCol w:w="1084"/>
        <w:gridCol w:w="1042"/>
      </w:tblGrid>
      <w:tr w:rsidR="0015230B" w14:paraId="5AC5DA4D" w14:textId="77777777" w:rsidTr="00AB4589">
        <w:trPr>
          <w:trHeight w:val="313"/>
        </w:trPr>
        <w:tc>
          <w:tcPr>
            <w:tcW w:w="3261"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00500568" w14:textId="77777777" w:rsidR="00AB4589" w:rsidRPr="00A628DC" w:rsidRDefault="00AB4589" w:rsidP="00AB4589">
            <w:pPr>
              <w:spacing w:after="0"/>
              <w:rPr>
                <w:rFonts w:eastAsia="Times New Roman" w:cs="Arial"/>
                <w:lang w:eastAsia="en-GB"/>
              </w:rPr>
            </w:pPr>
            <w:r w:rsidRPr="00A628DC">
              <w:rPr>
                <w:rFonts w:eastAsia="Times New Roman" w:cs="Arial"/>
                <w:lang w:eastAsia="en-GB"/>
              </w:rPr>
              <w:t> </w:t>
            </w:r>
          </w:p>
        </w:tc>
        <w:tc>
          <w:tcPr>
            <w:tcW w:w="1084" w:type="dxa"/>
            <w:tcBorders>
              <w:top w:val="single" w:sz="8" w:space="0" w:color="auto"/>
              <w:left w:val="nil"/>
              <w:bottom w:val="nil"/>
              <w:right w:val="single" w:sz="8" w:space="0" w:color="auto"/>
            </w:tcBorders>
            <w:shd w:val="clear" w:color="000000" w:fill="BFBFBF"/>
            <w:noWrap/>
            <w:vAlign w:val="center"/>
            <w:hideMark/>
          </w:tcPr>
          <w:p w14:paraId="18EC27E6"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2020/21</w:t>
            </w:r>
          </w:p>
        </w:tc>
        <w:tc>
          <w:tcPr>
            <w:tcW w:w="1084" w:type="dxa"/>
            <w:tcBorders>
              <w:top w:val="single" w:sz="8" w:space="0" w:color="auto"/>
              <w:left w:val="nil"/>
              <w:bottom w:val="nil"/>
              <w:right w:val="single" w:sz="8" w:space="0" w:color="auto"/>
            </w:tcBorders>
            <w:shd w:val="clear" w:color="000000" w:fill="BFBFBF"/>
            <w:noWrap/>
            <w:vAlign w:val="center"/>
            <w:hideMark/>
          </w:tcPr>
          <w:p w14:paraId="36C3501D"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2021/22</w:t>
            </w:r>
          </w:p>
        </w:tc>
        <w:tc>
          <w:tcPr>
            <w:tcW w:w="1092" w:type="dxa"/>
            <w:tcBorders>
              <w:top w:val="single" w:sz="8" w:space="0" w:color="auto"/>
              <w:left w:val="nil"/>
              <w:bottom w:val="nil"/>
              <w:right w:val="single" w:sz="8" w:space="0" w:color="auto"/>
            </w:tcBorders>
            <w:shd w:val="clear" w:color="000000" w:fill="BFBFBF"/>
            <w:noWrap/>
            <w:vAlign w:val="center"/>
            <w:hideMark/>
          </w:tcPr>
          <w:p w14:paraId="7DE53B29"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2022/23</w:t>
            </w:r>
          </w:p>
        </w:tc>
        <w:tc>
          <w:tcPr>
            <w:tcW w:w="1084" w:type="dxa"/>
            <w:tcBorders>
              <w:top w:val="single" w:sz="8" w:space="0" w:color="auto"/>
              <w:left w:val="nil"/>
              <w:bottom w:val="nil"/>
              <w:right w:val="single" w:sz="8" w:space="0" w:color="auto"/>
            </w:tcBorders>
            <w:shd w:val="clear" w:color="000000" w:fill="BFBFBF"/>
            <w:noWrap/>
            <w:vAlign w:val="center"/>
            <w:hideMark/>
          </w:tcPr>
          <w:p w14:paraId="5E1B8303"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2023/24</w:t>
            </w:r>
          </w:p>
        </w:tc>
        <w:tc>
          <w:tcPr>
            <w:tcW w:w="1042" w:type="dxa"/>
            <w:tcBorders>
              <w:top w:val="single" w:sz="8" w:space="0" w:color="auto"/>
              <w:left w:val="nil"/>
              <w:bottom w:val="nil"/>
              <w:right w:val="single" w:sz="8" w:space="0" w:color="auto"/>
            </w:tcBorders>
            <w:shd w:val="clear" w:color="000000" w:fill="BFBFBF"/>
            <w:noWrap/>
            <w:vAlign w:val="center"/>
            <w:hideMark/>
          </w:tcPr>
          <w:p w14:paraId="607DF250"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Total</w:t>
            </w:r>
          </w:p>
        </w:tc>
      </w:tr>
      <w:tr w:rsidR="0015230B" w14:paraId="2AF2464A" w14:textId="77777777" w:rsidTr="00AB4589">
        <w:trPr>
          <w:trHeight w:val="32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7354A3BF" w14:textId="77777777" w:rsidR="00AB4589" w:rsidRPr="00A628DC" w:rsidRDefault="00AB4589" w:rsidP="00AB4589">
            <w:pPr>
              <w:spacing w:after="0"/>
              <w:rPr>
                <w:rFonts w:eastAsia="Times New Roman" w:cs="Arial"/>
                <w:lang w:eastAsia="en-GB"/>
              </w:rPr>
            </w:pPr>
          </w:p>
        </w:tc>
        <w:tc>
          <w:tcPr>
            <w:tcW w:w="1084" w:type="dxa"/>
            <w:tcBorders>
              <w:top w:val="nil"/>
              <w:left w:val="nil"/>
              <w:bottom w:val="single" w:sz="8" w:space="0" w:color="auto"/>
              <w:right w:val="single" w:sz="8" w:space="0" w:color="auto"/>
            </w:tcBorders>
            <w:shd w:val="clear" w:color="000000" w:fill="BFBFBF"/>
            <w:noWrap/>
            <w:vAlign w:val="center"/>
            <w:hideMark/>
          </w:tcPr>
          <w:p w14:paraId="111AC62F"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£m</w:t>
            </w:r>
          </w:p>
        </w:tc>
        <w:tc>
          <w:tcPr>
            <w:tcW w:w="1084" w:type="dxa"/>
            <w:tcBorders>
              <w:top w:val="nil"/>
              <w:left w:val="nil"/>
              <w:bottom w:val="single" w:sz="8" w:space="0" w:color="auto"/>
              <w:right w:val="single" w:sz="8" w:space="0" w:color="auto"/>
            </w:tcBorders>
            <w:shd w:val="clear" w:color="000000" w:fill="BFBFBF"/>
            <w:noWrap/>
            <w:vAlign w:val="center"/>
            <w:hideMark/>
          </w:tcPr>
          <w:p w14:paraId="4B31ACD9"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£m</w:t>
            </w:r>
          </w:p>
        </w:tc>
        <w:tc>
          <w:tcPr>
            <w:tcW w:w="1092" w:type="dxa"/>
            <w:tcBorders>
              <w:top w:val="nil"/>
              <w:left w:val="nil"/>
              <w:bottom w:val="single" w:sz="8" w:space="0" w:color="auto"/>
              <w:right w:val="single" w:sz="8" w:space="0" w:color="auto"/>
            </w:tcBorders>
            <w:shd w:val="clear" w:color="000000" w:fill="BFBFBF"/>
            <w:noWrap/>
            <w:vAlign w:val="center"/>
            <w:hideMark/>
          </w:tcPr>
          <w:p w14:paraId="4BC0EE60"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£m</w:t>
            </w:r>
          </w:p>
        </w:tc>
        <w:tc>
          <w:tcPr>
            <w:tcW w:w="1084" w:type="dxa"/>
            <w:tcBorders>
              <w:top w:val="nil"/>
              <w:left w:val="nil"/>
              <w:bottom w:val="single" w:sz="8" w:space="0" w:color="auto"/>
              <w:right w:val="single" w:sz="8" w:space="0" w:color="auto"/>
            </w:tcBorders>
            <w:shd w:val="clear" w:color="000000" w:fill="BFBFBF"/>
            <w:noWrap/>
            <w:vAlign w:val="center"/>
            <w:hideMark/>
          </w:tcPr>
          <w:p w14:paraId="4385C825"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£m</w:t>
            </w:r>
          </w:p>
        </w:tc>
        <w:tc>
          <w:tcPr>
            <w:tcW w:w="1042" w:type="dxa"/>
            <w:tcBorders>
              <w:top w:val="nil"/>
              <w:left w:val="nil"/>
              <w:bottom w:val="single" w:sz="8" w:space="0" w:color="auto"/>
              <w:right w:val="single" w:sz="8" w:space="0" w:color="auto"/>
            </w:tcBorders>
            <w:shd w:val="clear" w:color="000000" w:fill="BFBFBF"/>
            <w:noWrap/>
            <w:vAlign w:val="center"/>
            <w:hideMark/>
          </w:tcPr>
          <w:p w14:paraId="7E5C0329"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£m</w:t>
            </w:r>
          </w:p>
        </w:tc>
      </w:tr>
      <w:tr w:rsidR="0015230B" w14:paraId="09437028" w14:textId="77777777" w:rsidTr="00AB4589">
        <w:trPr>
          <w:trHeight w:val="328"/>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14:paraId="2B7F4B3E" w14:textId="77777777" w:rsidR="00AB4589" w:rsidRPr="00A628DC" w:rsidRDefault="00AB4589" w:rsidP="00AB4589">
            <w:pPr>
              <w:spacing w:after="0"/>
              <w:rPr>
                <w:rFonts w:eastAsia="Times New Roman" w:cs="Arial"/>
                <w:lang w:eastAsia="en-GB"/>
              </w:rPr>
            </w:pPr>
            <w:r w:rsidRPr="00A628DC">
              <w:rPr>
                <w:rFonts w:eastAsia="Times New Roman" w:cs="Arial"/>
                <w:lang w:eastAsia="en-GB"/>
              </w:rPr>
              <w:t>Adults Services</w:t>
            </w:r>
          </w:p>
        </w:tc>
        <w:tc>
          <w:tcPr>
            <w:tcW w:w="1084" w:type="dxa"/>
            <w:tcBorders>
              <w:top w:val="nil"/>
              <w:left w:val="nil"/>
              <w:bottom w:val="single" w:sz="8" w:space="0" w:color="auto"/>
              <w:right w:val="single" w:sz="8" w:space="0" w:color="auto"/>
            </w:tcBorders>
            <w:shd w:val="clear" w:color="auto" w:fill="auto"/>
            <w:noWrap/>
            <w:vAlign w:val="center"/>
            <w:hideMark/>
          </w:tcPr>
          <w:p w14:paraId="4D765281"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17.580</w:t>
            </w:r>
          </w:p>
        </w:tc>
        <w:tc>
          <w:tcPr>
            <w:tcW w:w="1084" w:type="dxa"/>
            <w:tcBorders>
              <w:top w:val="nil"/>
              <w:left w:val="nil"/>
              <w:bottom w:val="single" w:sz="8" w:space="0" w:color="auto"/>
              <w:right w:val="single" w:sz="8" w:space="0" w:color="auto"/>
            </w:tcBorders>
            <w:shd w:val="clear" w:color="auto" w:fill="auto"/>
            <w:noWrap/>
            <w:vAlign w:val="center"/>
            <w:hideMark/>
          </w:tcPr>
          <w:p w14:paraId="4F47F58E"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12.380</w:t>
            </w:r>
          </w:p>
        </w:tc>
        <w:tc>
          <w:tcPr>
            <w:tcW w:w="1092" w:type="dxa"/>
            <w:tcBorders>
              <w:top w:val="nil"/>
              <w:left w:val="nil"/>
              <w:bottom w:val="single" w:sz="8" w:space="0" w:color="auto"/>
              <w:right w:val="single" w:sz="8" w:space="0" w:color="auto"/>
            </w:tcBorders>
            <w:shd w:val="clear" w:color="auto" w:fill="auto"/>
            <w:noWrap/>
            <w:vAlign w:val="center"/>
            <w:hideMark/>
          </w:tcPr>
          <w:p w14:paraId="16A4287F"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13.147</w:t>
            </w:r>
          </w:p>
        </w:tc>
        <w:tc>
          <w:tcPr>
            <w:tcW w:w="1084" w:type="dxa"/>
            <w:tcBorders>
              <w:top w:val="nil"/>
              <w:left w:val="nil"/>
              <w:bottom w:val="single" w:sz="8" w:space="0" w:color="auto"/>
              <w:right w:val="single" w:sz="8" w:space="0" w:color="auto"/>
            </w:tcBorders>
            <w:shd w:val="clear" w:color="auto" w:fill="auto"/>
            <w:noWrap/>
            <w:vAlign w:val="center"/>
            <w:hideMark/>
          </w:tcPr>
          <w:p w14:paraId="32B256CC"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15.435</w:t>
            </w:r>
          </w:p>
        </w:tc>
        <w:tc>
          <w:tcPr>
            <w:tcW w:w="1042" w:type="dxa"/>
            <w:tcBorders>
              <w:top w:val="nil"/>
              <w:left w:val="nil"/>
              <w:bottom w:val="single" w:sz="8" w:space="0" w:color="auto"/>
              <w:right w:val="single" w:sz="8" w:space="0" w:color="auto"/>
            </w:tcBorders>
            <w:shd w:val="clear" w:color="auto" w:fill="auto"/>
            <w:noWrap/>
            <w:vAlign w:val="center"/>
            <w:hideMark/>
          </w:tcPr>
          <w:p w14:paraId="7EB88E99"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58.542</w:t>
            </w:r>
          </w:p>
        </w:tc>
      </w:tr>
      <w:tr w:rsidR="0015230B" w14:paraId="30AECA32" w14:textId="77777777" w:rsidTr="00AB4589">
        <w:trPr>
          <w:trHeight w:val="328"/>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14:paraId="7B3269A5" w14:textId="77777777" w:rsidR="00AB4589" w:rsidRPr="00A628DC" w:rsidRDefault="00AB4589" w:rsidP="00AB4589">
            <w:pPr>
              <w:spacing w:after="0"/>
              <w:rPr>
                <w:rFonts w:eastAsia="Times New Roman" w:cs="Arial"/>
                <w:lang w:eastAsia="en-GB"/>
              </w:rPr>
            </w:pPr>
            <w:r w:rsidRPr="00A628DC">
              <w:rPr>
                <w:rFonts w:eastAsia="Times New Roman" w:cs="Arial"/>
                <w:lang w:eastAsia="en-GB"/>
              </w:rPr>
              <w:t>Children's Services</w:t>
            </w:r>
          </w:p>
        </w:tc>
        <w:tc>
          <w:tcPr>
            <w:tcW w:w="1084" w:type="dxa"/>
            <w:tcBorders>
              <w:top w:val="nil"/>
              <w:left w:val="nil"/>
              <w:bottom w:val="single" w:sz="8" w:space="0" w:color="auto"/>
              <w:right w:val="single" w:sz="8" w:space="0" w:color="auto"/>
            </w:tcBorders>
            <w:shd w:val="clear" w:color="auto" w:fill="auto"/>
            <w:noWrap/>
            <w:vAlign w:val="center"/>
            <w:hideMark/>
          </w:tcPr>
          <w:p w14:paraId="580BEB35"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1.704</w:t>
            </w:r>
          </w:p>
        </w:tc>
        <w:tc>
          <w:tcPr>
            <w:tcW w:w="1084" w:type="dxa"/>
            <w:tcBorders>
              <w:top w:val="nil"/>
              <w:left w:val="nil"/>
              <w:bottom w:val="single" w:sz="8" w:space="0" w:color="auto"/>
              <w:right w:val="single" w:sz="8" w:space="0" w:color="auto"/>
            </w:tcBorders>
            <w:shd w:val="clear" w:color="auto" w:fill="auto"/>
            <w:noWrap/>
            <w:vAlign w:val="center"/>
            <w:hideMark/>
          </w:tcPr>
          <w:p w14:paraId="5C4B2B4A"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1.545</w:t>
            </w:r>
          </w:p>
        </w:tc>
        <w:tc>
          <w:tcPr>
            <w:tcW w:w="1092" w:type="dxa"/>
            <w:tcBorders>
              <w:top w:val="nil"/>
              <w:left w:val="nil"/>
              <w:bottom w:val="single" w:sz="8" w:space="0" w:color="auto"/>
              <w:right w:val="single" w:sz="8" w:space="0" w:color="auto"/>
            </w:tcBorders>
            <w:shd w:val="clear" w:color="auto" w:fill="auto"/>
            <w:noWrap/>
            <w:vAlign w:val="center"/>
            <w:hideMark/>
          </w:tcPr>
          <w:p w14:paraId="4AC8AA52"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1.420</w:t>
            </w:r>
          </w:p>
        </w:tc>
        <w:tc>
          <w:tcPr>
            <w:tcW w:w="1084" w:type="dxa"/>
            <w:tcBorders>
              <w:top w:val="nil"/>
              <w:left w:val="nil"/>
              <w:bottom w:val="single" w:sz="8" w:space="0" w:color="auto"/>
              <w:right w:val="single" w:sz="8" w:space="0" w:color="auto"/>
            </w:tcBorders>
            <w:shd w:val="clear" w:color="auto" w:fill="auto"/>
            <w:noWrap/>
            <w:vAlign w:val="center"/>
            <w:hideMark/>
          </w:tcPr>
          <w:p w14:paraId="0F3AEFF9"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1.990</w:t>
            </w:r>
          </w:p>
        </w:tc>
        <w:tc>
          <w:tcPr>
            <w:tcW w:w="1042" w:type="dxa"/>
            <w:tcBorders>
              <w:top w:val="nil"/>
              <w:left w:val="nil"/>
              <w:bottom w:val="single" w:sz="8" w:space="0" w:color="auto"/>
              <w:right w:val="single" w:sz="8" w:space="0" w:color="auto"/>
            </w:tcBorders>
            <w:shd w:val="clear" w:color="auto" w:fill="auto"/>
            <w:noWrap/>
            <w:vAlign w:val="center"/>
            <w:hideMark/>
          </w:tcPr>
          <w:p w14:paraId="6314D150"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6.659</w:t>
            </w:r>
          </w:p>
        </w:tc>
      </w:tr>
      <w:tr w:rsidR="0015230B" w14:paraId="5A6505A3" w14:textId="77777777" w:rsidTr="00AB4589">
        <w:trPr>
          <w:trHeight w:val="328"/>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14:paraId="3C8FBBBA" w14:textId="77777777" w:rsidR="00AB4589" w:rsidRPr="00A628DC" w:rsidRDefault="00AB4589" w:rsidP="00AB4589">
            <w:pPr>
              <w:spacing w:after="0"/>
              <w:rPr>
                <w:rFonts w:eastAsia="Times New Roman" w:cs="Arial"/>
                <w:lang w:eastAsia="en-GB"/>
              </w:rPr>
            </w:pPr>
            <w:r w:rsidRPr="00A628DC">
              <w:rPr>
                <w:rFonts w:eastAsia="Times New Roman" w:cs="Arial"/>
                <w:lang w:eastAsia="en-GB"/>
              </w:rPr>
              <w:t>Waste Services</w:t>
            </w:r>
          </w:p>
        </w:tc>
        <w:tc>
          <w:tcPr>
            <w:tcW w:w="1084" w:type="dxa"/>
            <w:tcBorders>
              <w:top w:val="nil"/>
              <w:left w:val="nil"/>
              <w:bottom w:val="single" w:sz="8" w:space="0" w:color="auto"/>
              <w:right w:val="single" w:sz="8" w:space="0" w:color="auto"/>
            </w:tcBorders>
            <w:shd w:val="clear" w:color="auto" w:fill="auto"/>
            <w:noWrap/>
            <w:vAlign w:val="center"/>
            <w:hideMark/>
          </w:tcPr>
          <w:p w14:paraId="7121A70F"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1.870</w:t>
            </w:r>
          </w:p>
        </w:tc>
        <w:tc>
          <w:tcPr>
            <w:tcW w:w="1084" w:type="dxa"/>
            <w:tcBorders>
              <w:top w:val="nil"/>
              <w:left w:val="nil"/>
              <w:bottom w:val="single" w:sz="8" w:space="0" w:color="auto"/>
              <w:right w:val="single" w:sz="8" w:space="0" w:color="auto"/>
            </w:tcBorders>
            <w:shd w:val="clear" w:color="auto" w:fill="auto"/>
            <w:noWrap/>
            <w:vAlign w:val="center"/>
            <w:hideMark/>
          </w:tcPr>
          <w:p w14:paraId="3312D825"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2.347</w:t>
            </w:r>
          </w:p>
        </w:tc>
        <w:tc>
          <w:tcPr>
            <w:tcW w:w="1092" w:type="dxa"/>
            <w:tcBorders>
              <w:top w:val="nil"/>
              <w:left w:val="nil"/>
              <w:bottom w:val="single" w:sz="8" w:space="0" w:color="auto"/>
              <w:right w:val="single" w:sz="8" w:space="0" w:color="auto"/>
            </w:tcBorders>
            <w:shd w:val="clear" w:color="auto" w:fill="auto"/>
            <w:noWrap/>
            <w:vAlign w:val="center"/>
            <w:hideMark/>
          </w:tcPr>
          <w:p w14:paraId="74FADA48"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2.578</w:t>
            </w:r>
          </w:p>
        </w:tc>
        <w:tc>
          <w:tcPr>
            <w:tcW w:w="1084" w:type="dxa"/>
            <w:tcBorders>
              <w:top w:val="nil"/>
              <w:left w:val="nil"/>
              <w:bottom w:val="single" w:sz="8" w:space="0" w:color="auto"/>
              <w:right w:val="single" w:sz="8" w:space="0" w:color="auto"/>
            </w:tcBorders>
            <w:shd w:val="clear" w:color="auto" w:fill="auto"/>
            <w:noWrap/>
            <w:vAlign w:val="center"/>
            <w:hideMark/>
          </w:tcPr>
          <w:p w14:paraId="5694EA00"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2.578</w:t>
            </w:r>
          </w:p>
        </w:tc>
        <w:tc>
          <w:tcPr>
            <w:tcW w:w="1042" w:type="dxa"/>
            <w:tcBorders>
              <w:top w:val="nil"/>
              <w:left w:val="nil"/>
              <w:bottom w:val="single" w:sz="8" w:space="0" w:color="auto"/>
              <w:right w:val="single" w:sz="8" w:space="0" w:color="auto"/>
            </w:tcBorders>
            <w:shd w:val="clear" w:color="auto" w:fill="auto"/>
            <w:noWrap/>
            <w:vAlign w:val="center"/>
            <w:hideMark/>
          </w:tcPr>
          <w:p w14:paraId="29E1E6EE"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9.373</w:t>
            </w:r>
          </w:p>
        </w:tc>
      </w:tr>
      <w:tr w:rsidR="0015230B" w14:paraId="630748B7" w14:textId="77777777" w:rsidTr="00AB4589">
        <w:trPr>
          <w:trHeight w:val="328"/>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14:paraId="70961B7F" w14:textId="77777777" w:rsidR="00AB4589" w:rsidRPr="00A628DC" w:rsidRDefault="00AB4589" w:rsidP="00AB4589">
            <w:pPr>
              <w:spacing w:after="0"/>
              <w:rPr>
                <w:rFonts w:eastAsia="Times New Roman" w:cs="Arial"/>
                <w:lang w:eastAsia="en-GB"/>
              </w:rPr>
            </w:pPr>
            <w:r w:rsidRPr="00A628DC">
              <w:rPr>
                <w:rFonts w:eastAsia="Times New Roman" w:cs="Arial"/>
                <w:lang w:eastAsia="en-GB"/>
              </w:rPr>
              <w:t>Transport Services</w:t>
            </w:r>
          </w:p>
        </w:tc>
        <w:tc>
          <w:tcPr>
            <w:tcW w:w="1084" w:type="dxa"/>
            <w:tcBorders>
              <w:top w:val="nil"/>
              <w:left w:val="nil"/>
              <w:bottom w:val="single" w:sz="8" w:space="0" w:color="auto"/>
              <w:right w:val="single" w:sz="8" w:space="0" w:color="auto"/>
            </w:tcBorders>
            <w:shd w:val="clear" w:color="auto" w:fill="auto"/>
            <w:noWrap/>
            <w:vAlign w:val="center"/>
            <w:hideMark/>
          </w:tcPr>
          <w:p w14:paraId="49A9DCCF"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1.397</w:t>
            </w:r>
          </w:p>
        </w:tc>
        <w:tc>
          <w:tcPr>
            <w:tcW w:w="1084" w:type="dxa"/>
            <w:tcBorders>
              <w:top w:val="nil"/>
              <w:left w:val="nil"/>
              <w:bottom w:val="single" w:sz="8" w:space="0" w:color="auto"/>
              <w:right w:val="single" w:sz="8" w:space="0" w:color="auto"/>
            </w:tcBorders>
            <w:shd w:val="clear" w:color="auto" w:fill="auto"/>
            <w:noWrap/>
            <w:vAlign w:val="center"/>
            <w:hideMark/>
          </w:tcPr>
          <w:p w14:paraId="1488CCD7"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1.463</w:t>
            </w:r>
          </w:p>
        </w:tc>
        <w:tc>
          <w:tcPr>
            <w:tcW w:w="1092" w:type="dxa"/>
            <w:tcBorders>
              <w:top w:val="nil"/>
              <w:left w:val="nil"/>
              <w:bottom w:val="single" w:sz="8" w:space="0" w:color="auto"/>
              <w:right w:val="single" w:sz="8" w:space="0" w:color="auto"/>
            </w:tcBorders>
            <w:shd w:val="clear" w:color="auto" w:fill="auto"/>
            <w:noWrap/>
            <w:vAlign w:val="center"/>
            <w:hideMark/>
          </w:tcPr>
          <w:p w14:paraId="5F270D33"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1.553</w:t>
            </w:r>
          </w:p>
        </w:tc>
        <w:tc>
          <w:tcPr>
            <w:tcW w:w="1084" w:type="dxa"/>
            <w:tcBorders>
              <w:top w:val="nil"/>
              <w:left w:val="nil"/>
              <w:bottom w:val="single" w:sz="8" w:space="0" w:color="auto"/>
              <w:right w:val="single" w:sz="8" w:space="0" w:color="auto"/>
            </w:tcBorders>
            <w:shd w:val="clear" w:color="auto" w:fill="auto"/>
            <w:noWrap/>
            <w:vAlign w:val="center"/>
            <w:hideMark/>
          </w:tcPr>
          <w:p w14:paraId="78324719"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1.632</w:t>
            </w:r>
          </w:p>
        </w:tc>
        <w:tc>
          <w:tcPr>
            <w:tcW w:w="1042" w:type="dxa"/>
            <w:tcBorders>
              <w:top w:val="nil"/>
              <w:left w:val="nil"/>
              <w:bottom w:val="single" w:sz="8" w:space="0" w:color="auto"/>
              <w:right w:val="single" w:sz="8" w:space="0" w:color="auto"/>
            </w:tcBorders>
            <w:shd w:val="clear" w:color="auto" w:fill="auto"/>
            <w:noWrap/>
            <w:vAlign w:val="center"/>
            <w:hideMark/>
          </w:tcPr>
          <w:p w14:paraId="3BDE87AA"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6.045</w:t>
            </w:r>
          </w:p>
        </w:tc>
      </w:tr>
      <w:tr w:rsidR="0015230B" w14:paraId="6F5AE968" w14:textId="77777777" w:rsidTr="00AB4589">
        <w:trPr>
          <w:trHeight w:val="328"/>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14:paraId="297D8B05" w14:textId="77777777" w:rsidR="00AB4589" w:rsidRPr="00A628DC" w:rsidRDefault="00AB4589" w:rsidP="00AB4589">
            <w:pPr>
              <w:spacing w:after="0"/>
              <w:rPr>
                <w:rFonts w:eastAsia="Times New Roman" w:cs="Arial"/>
                <w:lang w:eastAsia="en-GB"/>
              </w:rPr>
            </w:pPr>
            <w:r w:rsidRPr="00A628DC">
              <w:rPr>
                <w:rFonts w:eastAsia="Times New Roman" w:cs="Arial"/>
                <w:lang w:eastAsia="en-GB"/>
              </w:rPr>
              <w:t>Other Services</w:t>
            </w:r>
          </w:p>
        </w:tc>
        <w:tc>
          <w:tcPr>
            <w:tcW w:w="1084" w:type="dxa"/>
            <w:tcBorders>
              <w:top w:val="nil"/>
              <w:left w:val="nil"/>
              <w:bottom w:val="single" w:sz="8" w:space="0" w:color="auto"/>
              <w:right w:val="single" w:sz="8" w:space="0" w:color="auto"/>
            </w:tcBorders>
            <w:shd w:val="clear" w:color="auto" w:fill="auto"/>
            <w:noWrap/>
            <w:vAlign w:val="center"/>
            <w:hideMark/>
          </w:tcPr>
          <w:p w14:paraId="504AFFEE"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2.329</w:t>
            </w:r>
          </w:p>
        </w:tc>
        <w:tc>
          <w:tcPr>
            <w:tcW w:w="1084" w:type="dxa"/>
            <w:tcBorders>
              <w:top w:val="nil"/>
              <w:left w:val="nil"/>
              <w:bottom w:val="single" w:sz="8" w:space="0" w:color="auto"/>
              <w:right w:val="single" w:sz="8" w:space="0" w:color="auto"/>
            </w:tcBorders>
            <w:shd w:val="clear" w:color="auto" w:fill="auto"/>
            <w:noWrap/>
            <w:vAlign w:val="center"/>
            <w:hideMark/>
          </w:tcPr>
          <w:p w14:paraId="68492161"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-1.644</w:t>
            </w:r>
          </w:p>
        </w:tc>
        <w:tc>
          <w:tcPr>
            <w:tcW w:w="1092" w:type="dxa"/>
            <w:tcBorders>
              <w:top w:val="nil"/>
              <w:left w:val="nil"/>
              <w:bottom w:val="single" w:sz="8" w:space="0" w:color="auto"/>
              <w:right w:val="single" w:sz="8" w:space="0" w:color="auto"/>
            </w:tcBorders>
            <w:shd w:val="clear" w:color="auto" w:fill="auto"/>
            <w:noWrap/>
            <w:vAlign w:val="center"/>
            <w:hideMark/>
          </w:tcPr>
          <w:p w14:paraId="589270DC"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1.567</w:t>
            </w:r>
          </w:p>
        </w:tc>
        <w:tc>
          <w:tcPr>
            <w:tcW w:w="1084" w:type="dxa"/>
            <w:tcBorders>
              <w:top w:val="nil"/>
              <w:left w:val="nil"/>
              <w:bottom w:val="single" w:sz="8" w:space="0" w:color="auto"/>
              <w:right w:val="single" w:sz="8" w:space="0" w:color="auto"/>
            </w:tcBorders>
            <w:shd w:val="clear" w:color="auto" w:fill="auto"/>
            <w:noWrap/>
            <w:vAlign w:val="center"/>
            <w:hideMark/>
          </w:tcPr>
          <w:p w14:paraId="050093F9"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2.220</w:t>
            </w:r>
          </w:p>
        </w:tc>
        <w:tc>
          <w:tcPr>
            <w:tcW w:w="1042" w:type="dxa"/>
            <w:tcBorders>
              <w:top w:val="nil"/>
              <w:left w:val="nil"/>
              <w:bottom w:val="single" w:sz="8" w:space="0" w:color="auto"/>
              <w:right w:val="single" w:sz="8" w:space="0" w:color="auto"/>
            </w:tcBorders>
            <w:shd w:val="clear" w:color="auto" w:fill="auto"/>
            <w:noWrap/>
            <w:vAlign w:val="center"/>
            <w:hideMark/>
          </w:tcPr>
          <w:p w14:paraId="02396817"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4.472</w:t>
            </w:r>
          </w:p>
        </w:tc>
      </w:tr>
      <w:tr w:rsidR="0015230B" w14:paraId="19558C70" w14:textId="77777777" w:rsidTr="00AB4589">
        <w:trPr>
          <w:trHeight w:val="328"/>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14:paraId="0DB93DB0" w14:textId="77777777" w:rsidR="00AB4589" w:rsidRPr="00A628DC" w:rsidRDefault="00AB4589" w:rsidP="00AB4589">
            <w:pPr>
              <w:spacing w:after="0"/>
              <w:rPr>
                <w:rFonts w:eastAsia="Times New Roman" w:cs="Arial"/>
                <w:b/>
                <w:bCs/>
                <w:lang w:eastAsia="en-GB"/>
              </w:rPr>
            </w:pPr>
            <w:r w:rsidRPr="00A628DC">
              <w:rPr>
                <w:rFonts w:eastAsia="Times New Roman" w:cs="Arial"/>
                <w:b/>
                <w:bCs/>
                <w:lang w:eastAsia="en-GB"/>
              </w:rPr>
              <w:t>Revised price inflation requirements</w:t>
            </w:r>
          </w:p>
        </w:tc>
        <w:tc>
          <w:tcPr>
            <w:tcW w:w="1084" w:type="dxa"/>
            <w:tcBorders>
              <w:top w:val="nil"/>
              <w:left w:val="nil"/>
              <w:bottom w:val="single" w:sz="8" w:space="0" w:color="auto"/>
              <w:right w:val="single" w:sz="8" w:space="0" w:color="auto"/>
            </w:tcBorders>
            <w:shd w:val="clear" w:color="auto" w:fill="auto"/>
            <w:noWrap/>
            <w:vAlign w:val="center"/>
            <w:hideMark/>
          </w:tcPr>
          <w:p w14:paraId="16803992"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24.880</w:t>
            </w:r>
          </w:p>
        </w:tc>
        <w:tc>
          <w:tcPr>
            <w:tcW w:w="1084" w:type="dxa"/>
            <w:tcBorders>
              <w:top w:val="nil"/>
              <w:left w:val="nil"/>
              <w:bottom w:val="single" w:sz="8" w:space="0" w:color="auto"/>
              <w:right w:val="single" w:sz="8" w:space="0" w:color="auto"/>
            </w:tcBorders>
            <w:shd w:val="clear" w:color="auto" w:fill="auto"/>
            <w:noWrap/>
            <w:vAlign w:val="center"/>
            <w:hideMark/>
          </w:tcPr>
          <w:p w14:paraId="502D4518"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16.091</w:t>
            </w:r>
          </w:p>
        </w:tc>
        <w:tc>
          <w:tcPr>
            <w:tcW w:w="1092" w:type="dxa"/>
            <w:tcBorders>
              <w:top w:val="nil"/>
              <w:left w:val="nil"/>
              <w:bottom w:val="single" w:sz="8" w:space="0" w:color="auto"/>
              <w:right w:val="single" w:sz="8" w:space="0" w:color="auto"/>
            </w:tcBorders>
            <w:shd w:val="clear" w:color="auto" w:fill="auto"/>
            <w:noWrap/>
            <w:vAlign w:val="center"/>
            <w:hideMark/>
          </w:tcPr>
          <w:p w14:paraId="73C08641"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20.265</w:t>
            </w:r>
          </w:p>
        </w:tc>
        <w:tc>
          <w:tcPr>
            <w:tcW w:w="1084" w:type="dxa"/>
            <w:tcBorders>
              <w:top w:val="nil"/>
              <w:left w:val="nil"/>
              <w:bottom w:val="single" w:sz="8" w:space="0" w:color="auto"/>
              <w:right w:val="single" w:sz="8" w:space="0" w:color="auto"/>
            </w:tcBorders>
            <w:shd w:val="clear" w:color="auto" w:fill="auto"/>
            <w:noWrap/>
            <w:vAlign w:val="center"/>
            <w:hideMark/>
          </w:tcPr>
          <w:p w14:paraId="3BEB51F7"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23.855</w:t>
            </w:r>
          </w:p>
        </w:tc>
        <w:tc>
          <w:tcPr>
            <w:tcW w:w="1042" w:type="dxa"/>
            <w:tcBorders>
              <w:top w:val="nil"/>
              <w:left w:val="nil"/>
              <w:bottom w:val="single" w:sz="8" w:space="0" w:color="auto"/>
              <w:right w:val="single" w:sz="8" w:space="0" w:color="auto"/>
            </w:tcBorders>
            <w:shd w:val="clear" w:color="auto" w:fill="auto"/>
            <w:noWrap/>
            <w:vAlign w:val="center"/>
            <w:hideMark/>
          </w:tcPr>
          <w:p w14:paraId="4DB44F5D"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85.091</w:t>
            </w:r>
          </w:p>
        </w:tc>
      </w:tr>
      <w:tr w:rsidR="0015230B" w14:paraId="11D87B8F" w14:textId="77777777" w:rsidTr="00AB4589">
        <w:trPr>
          <w:trHeight w:val="328"/>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14:paraId="01F95C83" w14:textId="77777777" w:rsidR="00AB4589" w:rsidRPr="00A628DC" w:rsidRDefault="00AB4589" w:rsidP="00AB4589">
            <w:pPr>
              <w:spacing w:after="0"/>
              <w:rPr>
                <w:rFonts w:eastAsia="Times New Roman" w:cs="Arial"/>
                <w:lang w:eastAsia="en-GB"/>
              </w:rPr>
            </w:pPr>
            <w:r w:rsidRPr="00A628DC">
              <w:rPr>
                <w:rFonts w:eastAsia="Times New Roman" w:cs="Arial"/>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565ECD6D"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0DFBC584"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 </w:t>
            </w:r>
          </w:p>
        </w:tc>
        <w:tc>
          <w:tcPr>
            <w:tcW w:w="1092" w:type="dxa"/>
            <w:tcBorders>
              <w:top w:val="nil"/>
              <w:left w:val="nil"/>
              <w:bottom w:val="single" w:sz="8" w:space="0" w:color="auto"/>
              <w:right w:val="single" w:sz="8" w:space="0" w:color="auto"/>
            </w:tcBorders>
            <w:shd w:val="clear" w:color="auto" w:fill="auto"/>
            <w:noWrap/>
            <w:vAlign w:val="center"/>
            <w:hideMark/>
          </w:tcPr>
          <w:p w14:paraId="0ED50730"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 </w:t>
            </w:r>
          </w:p>
        </w:tc>
        <w:tc>
          <w:tcPr>
            <w:tcW w:w="1084" w:type="dxa"/>
            <w:tcBorders>
              <w:top w:val="nil"/>
              <w:left w:val="nil"/>
              <w:bottom w:val="single" w:sz="8" w:space="0" w:color="auto"/>
              <w:right w:val="single" w:sz="8" w:space="0" w:color="auto"/>
            </w:tcBorders>
            <w:shd w:val="clear" w:color="auto" w:fill="auto"/>
            <w:noWrap/>
            <w:vAlign w:val="bottom"/>
            <w:hideMark/>
          </w:tcPr>
          <w:p w14:paraId="1D8172B0" w14:textId="77777777" w:rsidR="00AB4589" w:rsidRPr="00A628DC" w:rsidRDefault="00AB4589" w:rsidP="00AB4589">
            <w:pPr>
              <w:spacing w:after="0"/>
              <w:rPr>
                <w:rFonts w:ascii="Calibri" w:eastAsia="Times New Roman" w:hAnsi="Calibri" w:cs="Calibri"/>
                <w:lang w:eastAsia="en-GB"/>
              </w:rPr>
            </w:pPr>
            <w:r w:rsidRPr="00A628DC">
              <w:rPr>
                <w:rFonts w:ascii="Calibri" w:eastAsia="Times New Roman" w:hAnsi="Calibri" w:cs="Calibri"/>
                <w:lang w:eastAsia="en-GB"/>
              </w:rPr>
              <w:t> </w:t>
            </w:r>
          </w:p>
        </w:tc>
        <w:tc>
          <w:tcPr>
            <w:tcW w:w="1042" w:type="dxa"/>
            <w:tcBorders>
              <w:top w:val="nil"/>
              <w:left w:val="nil"/>
              <w:bottom w:val="single" w:sz="8" w:space="0" w:color="auto"/>
              <w:right w:val="single" w:sz="8" w:space="0" w:color="auto"/>
            </w:tcBorders>
            <w:shd w:val="clear" w:color="auto" w:fill="auto"/>
            <w:noWrap/>
            <w:vAlign w:val="center"/>
            <w:hideMark/>
          </w:tcPr>
          <w:p w14:paraId="0A1990E6"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 </w:t>
            </w:r>
          </w:p>
        </w:tc>
      </w:tr>
      <w:tr w:rsidR="0015230B" w14:paraId="78177785" w14:textId="77777777" w:rsidTr="00AB4589">
        <w:trPr>
          <w:trHeight w:val="328"/>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14:paraId="3908D2AC" w14:textId="77777777" w:rsidR="00AB4589" w:rsidRPr="00A628DC" w:rsidRDefault="00AB4589" w:rsidP="00AB4589">
            <w:pPr>
              <w:spacing w:after="0"/>
              <w:rPr>
                <w:rFonts w:eastAsia="Times New Roman" w:cs="Arial"/>
                <w:b/>
                <w:bCs/>
                <w:lang w:eastAsia="en-GB"/>
              </w:rPr>
            </w:pPr>
            <w:r w:rsidRPr="00A628DC">
              <w:rPr>
                <w:rFonts w:eastAsia="Times New Roman" w:cs="Arial"/>
                <w:b/>
                <w:bCs/>
                <w:lang w:eastAsia="en-GB"/>
              </w:rPr>
              <w:t>Price inflation – previous MTFS</w:t>
            </w:r>
          </w:p>
        </w:tc>
        <w:tc>
          <w:tcPr>
            <w:tcW w:w="1084" w:type="dxa"/>
            <w:tcBorders>
              <w:top w:val="nil"/>
              <w:left w:val="nil"/>
              <w:bottom w:val="single" w:sz="8" w:space="0" w:color="auto"/>
              <w:right w:val="single" w:sz="8" w:space="0" w:color="auto"/>
            </w:tcBorders>
            <w:shd w:val="clear" w:color="auto" w:fill="auto"/>
            <w:noWrap/>
            <w:vAlign w:val="center"/>
            <w:hideMark/>
          </w:tcPr>
          <w:p w14:paraId="2286F364"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23.666</w:t>
            </w:r>
          </w:p>
        </w:tc>
        <w:tc>
          <w:tcPr>
            <w:tcW w:w="1084" w:type="dxa"/>
            <w:tcBorders>
              <w:top w:val="nil"/>
              <w:left w:val="nil"/>
              <w:bottom w:val="single" w:sz="8" w:space="0" w:color="auto"/>
              <w:right w:val="single" w:sz="8" w:space="0" w:color="auto"/>
            </w:tcBorders>
            <w:shd w:val="clear" w:color="auto" w:fill="auto"/>
            <w:noWrap/>
            <w:vAlign w:val="center"/>
            <w:hideMark/>
          </w:tcPr>
          <w:p w14:paraId="2E34142D"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16.234</w:t>
            </w:r>
          </w:p>
        </w:tc>
        <w:tc>
          <w:tcPr>
            <w:tcW w:w="1092" w:type="dxa"/>
            <w:tcBorders>
              <w:top w:val="nil"/>
              <w:left w:val="nil"/>
              <w:bottom w:val="single" w:sz="8" w:space="0" w:color="auto"/>
              <w:right w:val="single" w:sz="8" w:space="0" w:color="auto"/>
            </w:tcBorders>
            <w:shd w:val="clear" w:color="auto" w:fill="auto"/>
            <w:noWrap/>
            <w:vAlign w:val="center"/>
            <w:hideMark/>
          </w:tcPr>
          <w:p w14:paraId="1EF6DBD0"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20.519</w:t>
            </w:r>
          </w:p>
        </w:tc>
        <w:tc>
          <w:tcPr>
            <w:tcW w:w="1084" w:type="dxa"/>
            <w:tcBorders>
              <w:top w:val="nil"/>
              <w:left w:val="nil"/>
              <w:bottom w:val="single" w:sz="8" w:space="0" w:color="auto"/>
              <w:right w:val="single" w:sz="8" w:space="0" w:color="auto"/>
            </w:tcBorders>
            <w:shd w:val="clear" w:color="auto" w:fill="auto"/>
            <w:noWrap/>
            <w:vAlign w:val="center"/>
            <w:hideMark/>
          </w:tcPr>
          <w:p w14:paraId="7F5B8FC1"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 </w:t>
            </w:r>
          </w:p>
        </w:tc>
        <w:tc>
          <w:tcPr>
            <w:tcW w:w="1042" w:type="dxa"/>
            <w:tcBorders>
              <w:top w:val="nil"/>
              <w:left w:val="nil"/>
              <w:bottom w:val="single" w:sz="8" w:space="0" w:color="auto"/>
              <w:right w:val="single" w:sz="8" w:space="0" w:color="auto"/>
            </w:tcBorders>
            <w:shd w:val="clear" w:color="auto" w:fill="auto"/>
            <w:noWrap/>
            <w:vAlign w:val="center"/>
            <w:hideMark/>
          </w:tcPr>
          <w:p w14:paraId="76A6CD1B"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60.419</w:t>
            </w:r>
          </w:p>
        </w:tc>
      </w:tr>
      <w:tr w:rsidR="0015230B" w14:paraId="5D25DA72" w14:textId="77777777" w:rsidTr="00AB4589">
        <w:trPr>
          <w:trHeight w:val="328"/>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14:paraId="37512D1E" w14:textId="77777777" w:rsidR="00AB4589" w:rsidRPr="00A628DC" w:rsidRDefault="00AB4589" w:rsidP="00AB4589">
            <w:pPr>
              <w:spacing w:after="0"/>
              <w:rPr>
                <w:rFonts w:eastAsia="Times New Roman" w:cs="Arial"/>
                <w:lang w:eastAsia="en-GB"/>
              </w:rPr>
            </w:pPr>
            <w:r w:rsidRPr="00A628DC">
              <w:rPr>
                <w:rFonts w:eastAsia="Times New Roman" w:cs="Arial"/>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403C9EDB"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70A711EB"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 </w:t>
            </w:r>
          </w:p>
        </w:tc>
        <w:tc>
          <w:tcPr>
            <w:tcW w:w="1092" w:type="dxa"/>
            <w:tcBorders>
              <w:top w:val="nil"/>
              <w:left w:val="nil"/>
              <w:bottom w:val="single" w:sz="8" w:space="0" w:color="auto"/>
              <w:right w:val="single" w:sz="8" w:space="0" w:color="auto"/>
            </w:tcBorders>
            <w:shd w:val="clear" w:color="auto" w:fill="auto"/>
            <w:noWrap/>
            <w:vAlign w:val="center"/>
            <w:hideMark/>
          </w:tcPr>
          <w:p w14:paraId="546766D2"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 </w:t>
            </w:r>
          </w:p>
        </w:tc>
        <w:tc>
          <w:tcPr>
            <w:tcW w:w="1084" w:type="dxa"/>
            <w:tcBorders>
              <w:top w:val="nil"/>
              <w:left w:val="nil"/>
              <w:bottom w:val="single" w:sz="8" w:space="0" w:color="auto"/>
              <w:right w:val="single" w:sz="8" w:space="0" w:color="auto"/>
            </w:tcBorders>
            <w:shd w:val="clear" w:color="auto" w:fill="auto"/>
            <w:noWrap/>
            <w:vAlign w:val="bottom"/>
            <w:hideMark/>
          </w:tcPr>
          <w:p w14:paraId="1DE06946" w14:textId="77777777" w:rsidR="00AB4589" w:rsidRPr="00A628DC" w:rsidRDefault="00AB4589" w:rsidP="00AB4589">
            <w:pPr>
              <w:spacing w:after="0"/>
              <w:rPr>
                <w:rFonts w:ascii="Calibri" w:eastAsia="Times New Roman" w:hAnsi="Calibri" w:cs="Calibri"/>
                <w:lang w:eastAsia="en-GB"/>
              </w:rPr>
            </w:pPr>
            <w:r w:rsidRPr="00A628DC">
              <w:rPr>
                <w:rFonts w:ascii="Calibri" w:eastAsia="Times New Roman" w:hAnsi="Calibri" w:cs="Calibri"/>
                <w:lang w:eastAsia="en-GB"/>
              </w:rPr>
              <w:t> </w:t>
            </w:r>
          </w:p>
        </w:tc>
        <w:tc>
          <w:tcPr>
            <w:tcW w:w="1042" w:type="dxa"/>
            <w:tcBorders>
              <w:top w:val="nil"/>
              <w:left w:val="nil"/>
              <w:bottom w:val="single" w:sz="8" w:space="0" w:color="auto"/>
              <w:right w:val="single" w:sz="8" w:space="0" w:color="auto"/>
            </w:tcBorders>
            <w:shd w:val="clear" w:color="auto" w:fill="auto"/>
            <w:noWrap/>
            <w:vAlign w:val="center"/>
            <w:hideMark/>
          </w:tcPr>
          <w:p w14:paraId="453353E2"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 </w:t>
            </w:r>
          </w:p>
        </w:tc>
      </w:tr>
      <w:tr w:rsidR="0015230B" w14:paraId="27AB4ECA" w14:textId="77777777" w:rsidTr="00AB4589">
        <w:trPr>
          <w:trHeight w:val="328"/>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14:paraId="103A1CFC" w14:textId="77777777" w:rsidR="00AB4589" w:rsidRPr="00A628DC" w:rsidRDefault="00AB4589" w:rsidP="00AB4589">
            <w:pPr>
              <w:spacing w:after="0"/>
              <w:rPr>
                <w:rFonts w:eastAsia="Times New Roman" w:cs="Arial"/>
                <w:b/>
                <w:bCs/>
                <w:lang w:eastAsia="en-GB"/>
              </w:rPr>
            </w:pPr>
            <w:r w:rsidRPr="00A628DC">
              <w:rPr>
                <w:rFonts w:eastAsia="Times New Roman" w:cs="Arial"/>
                <w:b/>
                <w:bCs/>
                <w:lang w:eastAsia="en-GB"/>
              </w:rPr>
              <w:t>Impact on Financial Gap</w:t>
            </w:r>
          </w:p>
        </w:tc>
        <w:tc>
          <w:tcPr>
            <w:tcW w:w="1084" w:type="dxa"/>
            <w:tcBorders>
              <w:top w:val="nil"/>
              <w:left w:val="nil"/>
              <w:bottom w:val="single" w:sz="8" w:space="0" w:color="auto"/>
              <w:right w:val="single" w:sz="8" w:space="0" w:color="auto"/>
            </w:tcBorders>
            <w:shd w:val="clear" w:color="auto" w:fill="auto"/>
            <w:noWrap/>
            <w:vAlign w:val="center"/>
            <w:hideMark/>
          </w:tcPr>
          <w:p w14:paraId="2076B3A9"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1.214</w:t>
            </w:r>
          </w:p>
        </w:tc>
        <w:tc>
          <w:tcPr>
            <w:tcW w:w="1084" w:type="dxa"/>
            <w:tcBorders>
              <w:top w:val="nil"/>
              <w:left w:val="nil"/>
              <w:bottom w:val="single" w:sz="8" w:space="0" w:color="auto"/>
              <w:right w:val="single" w:sz="8" w:space="0" w:color="auto"/>
            </w:tcBorders>
            <w:shd w:val="clear" w:color="auto" w:fill="auto"/>
            <w:noWrap/>
            <w:vAlign w:val="center"/>
            <w:hideMark/>
          </w:tcPr>
          <w:p w14:paraId="04D71225"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-0.143</w:t>
            </w:r>
          </w:p>
        </w:tc>
        <w:tc>
          <w:tcPr>
            <w:tcW w:w="1092" w:type="dxa"/>
            <w:tcBorders>
              <w:top w:val="nil"/>
              <w:left w:val="nil"/>
              <w:bottom w:val="single" w:sz="8" w:space="0" w:color="auto"/>
              <w:right w:val="single" w:sz="8" w:space="0" w:color="auto"/>
            </w:tcBorders>
            <w:shd w:val="clear" w:color="auto" w:fill="auto"/>
            <w:noWrap/>
            <w:vAlign w:val="center"/>
            <w:hideMark/>
          </w:tcPr>
          <w:p w14:paraId="49DFCE50"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-0.254</w:t>
            </w:r>
          </w:p>
        </w:tc>
        <w:tc>
          <w:tcPr>
            <w:tcW w:w="1084" w:type="dxa"/>
            <w:tcBorders>
              <w:top w:val="nil"/>
              <w:left w:val="nil"/>
              <w:bottom w:val="single" w:sz="8" w:space="0" w:color="auto"/>
              <w:right w:val="single" w:sz="8" w:space="0" w:color="auto"/>
            </w:tcBorders>
            <w:shd w:val="clear" w:color="auto" w:fill="auto"/>
            <w:noWrap/>
            <w:vAlign w:val="center"/>
            <w:hideMark/>
          </w:tcPr>
          <w:p w14:paraId="29FAA7BC"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23.855</w:t>
            </w:r>
          </w:p>
        </w:tc>
        <w:tc>
          <w:tcPr>
            <w:tcW w:w="1042" w:type="dxa"/>
            <w:tcBorders>
              <w:top w:val="nil"/>
              <w:left w:val="nil"/>
              <w:bottom w:val="single" w:sz="8" w:space="0" w:color="auto"/>
              <w:right w:val="single" w:sz="8" w:space="0" w:color="auto"/>
            </w:tcBorders>
            <w:shd w:val="clear" w:color="auto" w:fill="auto"/>
            <w:noWrap/>
            <w:vAlign w:val="center"/>
            <w:hideMark/>
          </w:tcPr>
          <w:p w14:paraId="10019484"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24.672</w:t>
            </w:r>
          </w:p>
        </w:tc>
      </w:tr>
    </w:tbl>
    <w:p w14:paraId="71FA761E" w14:textId="77777777" w:rsidR="00AB4589" w:rsidRPr="00813473" w:rsidRDefault="00AB4589" w:rsidP="00AB4589">
      <w:pPr>
        <w:spacing w:after="0"/>
        <w:rPr>
          <w:rFonts w:cs="Arial"/>
          <w:highlight w:val="yellow"/>
        </w:rPr>
      </w:pPr>
    </w:p>
    <w:p w14:paraId="30925BD4" w14:textId="77777777" w:rsidR="00AB4589" w:rsidRPr="001A7439" w:rsidRDefault="00AB4589" w:rsidP="00AB4589">
      <w:pPr>
        <w:tabs>
          <w:tab w:val="left" w:pos="567"/>
          <w:tab w:val="left" w:pos="1134"/>
        </w:tabs>
        <w:spacing w:after="0"/>
        <w:rPr>
          <w:rFonts w:cs="Arial"/>
          <w:b/>
        </w:rPr>
      </w:pPr>
      <w:r w:rsidRPr="001A7439">
        <w:rPr>
          <w:rFonts w:cs="Arial"/>
          <w:b/>
        </w:rPr>
        <w:t>3.3</w:t>
      </w:r>
      <w:r w:rsidRPr="001A7439">
        <w:rPr>
          <w:rFonts w:cs="Arial"/>
          <w:b/>
        </w:rPr>
        <w:tab/>
        <w:t xml:space="preserve">Demand </w:t>
      </w:r>
      <w:r>
        <w:rPr>
          <w:rFonts w:cs="Arial"/>
          <w:b/>
        </w:rPr>
        <w:t>p</w:t>
      </w:r>
      <w:r w:rsidRPr="001A7439">
        <w:rPr>
          <w:rFonts w:cs="Arial"/>
          <w:b/>
        </w:rPr>
        <w:t>ressures</w:t>
      </w:r>
    </w:p>
    <w:p w14:paraId="79D9A276" w14:textId="77777777" w:rsidR="00AB4589" w:rsidRPr="001A7439" w:rsidRDefault="00AB4589" w:rsidP="00AB4589">
      <w:pPr>
        <w:tabs>
          <w:tab w:val="left" w:pos="567"/>
          <w:tab w:val="left" w:pos="1134"/>
        </w:tabs>
        <w:spacing w:after="0"/>
        <w:rPr>
          <w:rFonts w:cs="Arial"/>
          <w:b/>
        </w:rPr>
      </w:pPr>
    </w:p>
    <w:p w14:paraId="2D3A8FE4" w14:textId="77777777" w:rsidR="00AB4589" w:rsidRPr="001A7439" w:rsidRDefault="00AB4589" w:rsidP="00AB4589">
      <w:pPr>
        <w:tabs>
          <w:tab w:val="left" w:pos="567"/>
          <w:tab w:val="left" w:pos="1134"/>
        </w:tabs>
        <w:spacing w:after="0"/>
        <w:rPr>
          <w:rFonts w:cs="Arial"/>
        </w:rPr>
      </w:pPr>
      <w:r w:rsidRPr="001A7439">
        <w:rPr>
          <w:rFonts w:cs="Arial"/>
        </w:rPr>
        <w:t xml:space="preserve">All services have reviewed the demand pressures they face in future years and increasing demand still remains a significant element of the funding gap. </w:t>
      </w:r>
    </w:p>
    <w:p w14:paraId="3AAEDD98" w14:textId="77777777" w:rsidR="00AB4589" w:rsidRPr="00813473" w:rsidRDefault="00AB4589" w:rsidP="00AB4589">
      <w:pPr>
        <w:tabs>
          <w:tab w:val="left" w:pos="567"/>
          <w:tab w:val="left" w:pos="1134"/>
        </w:tabs>
        <w:spacing w:after="0"/>
        <w:rPr>
          <w:rFonts w:cs="Arial"/>
          <w:highlight w:val="yellow"/>
        </w:rPr>
      </w:pPr>
    </w:p>
    <w:p w14:paraId="6177D9CC" w14:textId="77777777" w:rsidR="00AB4589" w:rsidRPr="001A7439" w:rsidRDefault="00AB4589" w:rsidP="00AB4589">
      <w:pPr>
        <w:tabs>
          <w:tab w:val="left" w:pos="567"/>
          <w:tab w:val="left" w:pos="1134"/>
        </w:tabs>
        <w:spacing w:after="0"/>
        <w:rPr>
          <w:rFonts w:cs="Arial"/>
          <w:b/>
          <w:i/>
          <w:u w:val="single"/>
        </w:rPr>
      </w:pPr>
      <w:r w:rsidRPr="001A7439">
        <w:rPr>
          <w:rFonts w:cs="Arial"/>
          <w:b/>
          <w:i/>
          <w:u w:val="single"/>
        </w:rPr>
        <w:lastRenderedPageBreak/>
        <w:t>Table 6</w:t>
      </w:r>
    </w:p>
    <w:p w14:paraId="4DEB4F2F" w14:textId="77777777" w:rsidR="00AB4589" w:rsidRDefault="00AB4589" w:rsidP="00AB4589">
      <w:pPr>
        <w:tabs>
          <w:tab w:val="left" w:pos="567"/>
          <w:tab w:val="left" w:pos="1134"/>
        </w:tabs>
        <w:spacing w:after="0"/>
        <w:rPr>
          <w:rFonts w:cs="Arial"/>
          <w:highlight w:val="yellow"/>
        </w:rPr>
      </w:pPr>
    </w:p>
    <w:tbl>
      <w:tblPr>
        <w:tblW w:w="8647" w:type="dxa"/>
        <w:tblInd w:w="-10" w:type="dxa"/>
        <w:tblLook w:val="04A0" w:firstRow="1" w:lastRow="0" w:firstColumn="1" w:lastColumn="0" w:noHBand="0" w:noVBand="1"/>
      </w:tblPr>
      <w:tblGrid>
        <w:gridCol w:w="3220"/>
        <w:gridCol w:w="1084"/>
        <w:gridCol w:w="1084"/>
        <w:gridCol w:w="1084"/>
        <w:gridCol w:w="1084"/>
        <w:gridCol w:w="1091"/>
      </w:tblGrid>
      <w:tr w:rsidR="0015230B" w14:paraId="7169D5BA" w14:textId="77777777" w:rsidTr="00AB4589">
        <w:trPr>
          <w:trHeight w:val="315"/>
        </w:trPr>
        <w:tc>
          <w:tcPr>
            <w:tcW w:w="322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5749A360" w14:textId="77777777" w:rsidR="00AB4589" w:rsidRPr="00A628DC" w:rsidRDefault="00AB4589" w:rsidP="00AB4589">
            <w:pPr>
              <w:spacing w:after="0"/>
              <w:rPr>
                <w:rFonts w:eastAsia="Times New Roman" w:cs="Arial"/>
                <w:lang w:eastAsia="en-GB"/>
              </w:rPr>
            </w:pPr>
            <w:r w:rsidRPr="00A628DC">
              <w:rPr>
                <w:rFonts w:eastAsia="Times New Roman" w:cs="Arial"/>
                <w:lang w:eastAsia="en-GB"/>
              </w:rPr>
              <w:t> </w:t>
            </w:r>
          </w:p>
        </w:tc>
        <w:tc>
          <w:tcPr>
            <w:tcW w:w="1084" w:type="dxa"/>
            <w:tcBorders>
              <w:top w:val="single" w:sz="8" w:space="0" w:color="auto"/>
              <w:left w:val="nil"/>
              <w:bottom w:val="nil"/>
              <w:right w:val="single" w:sz="8" w:space="0" w:color="auto"/>
            </w:tcBorders>
            <w:shd w:val="clear" w:color="000000" w:fill="BFBFBF"/>
            <w:noWrap/>
            <w:vAlign w:val="center"/>
            <w:hideMark/>
          </w:tcPr>
          <w:p w14:paraId="3F0D89E5"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2020/21</w:t>
            </w:r>
          </w:p>
        </w:tc>
        <w:tc>
          <w:tcPr>
            <w:tcW w:w="1084" w:type="dxa"/>
            <w:tcBorders>
              <w:top w:val="single" w:sz="8" w:space="0" w:color="auto"/>
              <w:left w:val="nil"/>
              <w:bottom w:val="nil"/>
              <w:right w:val="single" w:sz="8" w:space="0" w:color="auto"/>
            </w:tcBorders>
            <w:shd w:val="clear" w:color="000000" w:fill="BFBFBF"/>
            <w:noWrap/>
            <w:vAlign w:val="center"/>
            <w:hideMark/>
          </w:tcPr>
          <w:p w14:paraId="056FDEE0"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2021/22</w:t>
            </w:r>
          </w:p>
        </w:tc>
        <w:tc>
          <w:tcPr>
            <w:tcW w:w="1084" w:type="dxa"/>
            <w:tcBorders>
              <w:top w:val="single" w:sz="8" w:space="0" w:color="auto"/>
              <w:left w:val="nil"/>
              <w:bottom w:val="nil"/>
              <w:right w:val="single" w:sz="8" w:space="0" w:color="auto"/>
            </w:tcBorders>
            <w:shd w:val="clear" w:color="000000" w:fill="BFBFBF"/>
            <w:noWrap/>
            <w:vAlign w:val="center"/>
            <w:hideMark/>
          </w:tcPr>
          <w:p w14:paraId="2FC5F232"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2022/23</w:t>
            </w:r>
          </w:p>
        </w:tc>
        <w:tc>
          <w:tcPr>
            <w:tcW w:w="1084" w:type="dxa"/>
            <w:tcBorders>
              <w:top w:val="single" w:sz="8" w:space="0" w:color="auto"/>
              <w:left w:val="nil"/>
              <w:bottom w:val="nil"/>
              <w:right w:val="single" w:sz="8" w:space="0" w:color="auto"/>
            </w:tcBorders>
            <w:shd w:val="clear" w:color="000000" w:fill="BFBFBF"/>
            <w:noWrap/>
            <w:vAlign w:val="center"/>
            <w:hideMark/>
          </w:tcPr>
          <w:p w14:paraId="57E93231"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2023/24</w:t>
            </w:r>
          </w:p>
        </w:tc>
        <w:tc>
          <w:tcPr>
            <w:tcW w:w="1091" w:type="dxa"/>
            <w:tcBorders>
              <w:top w:val="single" w:sz="8" w:space="0" w:color="auto"/>
              <w:left w:val="nil"/>
              <w:bottom w:val="nil"/>
              <w:right w:val="single" w:sz="8" w:space="0" w:color="auto"/>
            </w:tcBorders>
            <w:shd w:val="clear" w:color="000000" w:fill="BFBFBF"/>
            <w:noWrap/>
            <w:vAlign w:val="center"/>
            <w:hideMark/>
          </w:tcPr>
          <w:p w14:paraId="28376D53"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Total</w:t>
            </w:r>
          </w:p>
        </w:tc>
      </w:tr>
      <w:tr w:rsidR="0015230B" w14:paraId="52824BA6" w14:textId="77777777" w:rsidTr="00AB4589">
        <w:trPr>
          <w:trHeight w:val="330"/>
        </w:trPr>
        <w:tc>
          <w:tcPr>
            <w:tcW w:w="3220" w:type="dxa"/>
            <w:vMerge/>
            <w:tcBorders>
              <w:top w:val="single" w:sz="8" w:space="0" w:color="auto"/>
              <w:left w:val="single" w:sz="8" w:space="0" w:color="auto"/>
              <w:bottom w:val="single" w:sz="8" w:space="0" w:color="000000"/>
              <w:right w:val="single" w:sz="8" w:space="0" w:color="auto"/>
            </w:tcBorders>
            <w:vAlign w:val="center"/>
            <w:hideMark/>
          </w:tcPr>
          <w:p w14:paraId="043932D7" w14:textId="77777777" w:rsidR="00AB4589" w:rsidRPr="00A628DC" w:rsidRDefault="00AB4589" w:rsidP="00AB4589">
            <w:pPr>
              <w:spacing w:after="0"/>
              <w:rPr>
                <w:rFonts w:eastAsia="Times New Roman" w:cs="Arial"/>
                <w:lang w:eastAsia="en-GB"/>
              </w:rPr>
            </w:pPr>
          </w:p>
        </w:tc>
        <w:tc>
          <w:tcPr>
            <w:tcW w:w="1084" w:type="dxa"/>
            <w:tcBorders>
              <w:top w:val="nil"/>
              <w:left w:val="nil"/>
              <w:bottom w:val="single" w:sz="8" w:space="0" w:color="auto"/>
              <w:right w:val="single" w:sz="8" w:space="0" w:color="auto"/>
            </w:tcBorders>
            <w:shd w:val="clear" w:color="000000" w:fill="BFBFBF"/>
            <w:noWrap/>
            <w:vAlign w:val="center"/>
            <w:hideMark/>
          </w:tcPr>
          <w:p w14:paraId="216015BC"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£m</w:t>
            </w:r>
          </w:p>
        </w:tc>
        <w:tc>
          <w:tcPr>
            <w:tcW w:w="1084" w:type="dxa"/>
            <w:tcBorders>
              <w:top w:val="nil"/>
              <w:left w:val="nil"/>
              <w:bottom w:val="single" w:sz="8" w:space="0" w:color="auto"/>
              <w:right w:val="single" w:sz="8" w:space="0" w:color="auto"/>
            </w:tcBorders>
            <w:shd w:val="clear" w:color="000000" w:fill="BFBFBF"/>
            <w:noWrap/>
            <w:vAlign w:val="center"/>
            <w:hideMark/>
          </w:tcPr>
          <w:p w14:paraId="7E2E868A"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£m</w:t>
            </w:r>
          </w:p>
        </w:tc>
        <w:tc>
          <w:tcPr>
            <w:tcW w:w="1084" w:type="dxa"/>
            <w:tcBorders>
              <w:top w:val="nil"/>
              <w:left w:val="nil"/>
              <w:bottom w:val="single" w:sz="8" w:space="0" w:color="auto"/>
              <w:right w:val="single" w:sz="8" w:space="0" w:color="auto"/>
            </w:tcBorders>
            <w:shd w:val="clear" w:color="000000" w:fill="BFBFBF"/>
            <w:noWrap/>
            <w:vAlign w:val="center"/>
            <w:hideMark/>
          </w:tcPr>
          <w:p w14:paraId="59EC53A4"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£m</w:t>
            </w:r>
          </w:p>
        </w:tc>
        <w:tc>
          <w:tcPr>
            <w:tcW w:w="1084" w:type="dxa"/>
            <w:tcBorders>
              <w:top w:val="nil"/>
              <w:left w:val="nil"/>
              <w:bottom w:val="single" w:sz="8" w:space="0" w:color="auto"/>
              <w:right w:val="single" w:sz="8" w:space="0" w:color="auto"/>
            </w:tcBorders>
            <w:shd w:val="clear" w:color="000000" w:fill="BFBFBF"/>
            <w:noWrap/>
            <w:vAlign w:val="center"/>
            <w:hideMark/>
          </w:tcPr>
          <w:p w14:paraId="5A51AFFD"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£m</w:t>
            </w:r>
          </w:p>
        </w:tc>
        <w:tc>
          <w:tcPr>
            <w:tcW w:w="1091" w:type="dxa"/>
            <w:tcBorders>
              <w:top w:val="nil"/>
              <w:left w:val="nil"/>
              <w:bottom w:val="single" w:sz="8" w:space="0" w:color="auto"/>
              <w:right w:val="single" w:sz="8" w:space="0" w:color="auto"/>
            </w:tcBorders>
            <w:shd w:val="clear" w:color="000000" w:fill="BFBFBF"/>
            <w:noWrap/>
            <w:vAlign w:val="center"/>
            <w:hideMark/>
          </w:tcPr>
          <w:p w14:paraId="0AD96EF4" w14:textId="77777777" w:rsidR="00AB4589" w:rsidRPr="00A628DC" w:rsidRDefault="00AB4589" w:rsidP="00AB4589">
            <w:pPr>
              <w:spacing w:after="0"/>
              <w:jc w:val="center"/>
              <w:rPr>
                <w:rFonts w:eastAsia="Times New Roman" w:cs="Arial"/>
                <w:b/>
                <w:bCs/>
                <w:lang w:eastAsia="en-GB"/>
              </w:rPr>
            </w:pPr>
            <w:r w:rsidRPr="00A628DC">
              <w:rPr>
                <w:rFonts w:eastAsia="Times New Roman" w:cs="Arial"/>
                <w:b/>
                <w:bCs/>
                <w:lang w:eastAsia="en-GB"/>
              </w:rPr>
              <w:t>£m</w:t>
            </w:r>
          </w:p>
        </w:tc>
      </w:tr>
      <w:tr w:rsidR="0015230B" w14:paraId="060FDF09" w14:textId="77777777" w:rsidTr="00AB4589">
        <w:trPr>
          <w:trHeight w:val="33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6B9D044E" w14:textId="77777777" w:rsidR="00AB4589" w:rsidRPr="00A628DC" w:rsidRDefault="00AB4589" w:rsidP="00AB4589">
            <w:pPr>
              <w:spacing w:after="0"/>
              <w:rPr>
                <w:rFonts w:eastAsia="Times New Roman" w:cs="Arial"/>
                <w:lang w:eastAsia="en-GB"/>
              </w:rPr>
            </w:pPr>
            <w:r w:rsidRPr="00A628DC">
              <w:rPr>
                <w:rFonts w:eastAsia="Times New Roman" w:cs="Arial"/>
                <w:lang w:eastAsia="en-GB"/>
              </w:rPr>
              <w:t>Adults Services</w:t>
            </w:r>
          </w:p>
        </w:tc>
        <w:tc>
          <w:tcPr>
            <w:tcW w:w="1084" w:type="dxa"/>
            <w:tcBorders>
              <w:top w:val="nil"/>
              <w:left w:val="nil"/>
              <w:bottom w:val="single" w:sz="8" w:space="0" w:color="auto"/>
              <w:right w:val="single" w:sz="8" w:space="0" w:color="auto"/>
            </w:tcBorders>
            <w:shd w:val="clear" w:color="auto" w:fill="auto"/>
            <w:noWrap/>
            <w:vAlign w:val="center"/>
            <w:hideMark/>
          </w:tcPr>
          <w:p w14:paraId="01BB1ED9"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17.764</w:t>
            </w:r>
          </w:p>
        </w:tc>
        <w:tc>
          <w:tcPr>
            <w:tcW w:w="1084" w:type="dxa"/>
            <w:tcBorders>
              <w:top w:val="nil"/>
              <w:left w:val="nil"/>
              <w:bottom w:val="single" w:sz="8" w:space="0" w:color="auto"/>
              <w:right w:val="single" w:sz="8" w:space="0" w:color="auto"/>
            </w:tcBorders>
            <w:shd w:val="clear" w:color="auto" w:fill="auto"/>
            <w:noWrap/>
            <w:vAlign w:val="center"/>
            <w:hideMark/>
          </w:tcPr>
          <w:p w14:paraId="029B1DB6"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10.573</w:t>
            </w:r>
          </w:p>
        </w:tc>
        <w:tc>
          <w:tcPr>
            <w:tcW w:w="1084" w:type="dxa"/>
            <w:tcBorders>
              <w:top w:val="nil"/>
              <w:left w:val="nil"/>
              <w:bottom w:val="single" w:sz="8" w:space="0" w:color="auto"/>
              <w:right w:val="single" w:sz="8" w:space="0" w:color="auto"/>
            </w:tcBorders>
            <w:shd w:val="clear" w:color="auto" w:fill="auto"/>
            <w:noWrap/>
            <w:vAlign w:val="center"/>
            <w:hideMark/>
          </w:tcPr>
          <w:p w14:paraId="13CF8F69"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10.163</w:t>
            </w:r>
          </w:p>
        </w:tc>
        <w:tc>
          <w:tcPr>
            <w:tcW w:w="1084" w:type="dxa"/>
            <w:tcBorders>
              <w:top w:val="nil"/>
              <w:left w:val="nil"/>
              <w:bottom w:val="single" w:sz="8" w:space="0" w:color="auto"/>
              <w:right w:val="single" w:sz="8" w:space="0" w:color="auto"/>
            </w:tcBorders>
            <w:shd w:val="clear" w:color="auto" w:fill="auto"/>
            <w:noWrap/>
            <w:vAlign w:val="center"/>
            <w:hideMark/>
          </w:tcPr>
          <w:p w14:paraId="1CBD73C7"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8.816</w:t>
            </w:r>
          </w:p>
        </w:tc>
        <w:tc>
          <w:tcPr>
            <w:tcW w:w="1091" w:type="dxa"/>
            <w:tcBorders>
              <w:top w:val="nil"/>
              <w:left w:val="nil"/>
              <w:bottom w:val="single" w:sz="8" w:space="0" w:color="auto"/>
              <w:right w:val="single" w:sz="8" w:space="0" w:color="auto"/>
            </w:tcBorders>
            <w:shd w:val="clear" w:color="auto" w:fill="auto"/>
            <w:noWrap/>
            <w:vAlign w:val="center"/>
            <w:hideMark/>
          </w:tcPr>
          <w:p w14:paraId="2B0F53D5"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47.316</w:t>
            </w:r>
          </w:p>
        </w:tc>
      </w:tr>
      <w:tr w:rsidR="0015230B" w14:paraId="2AA35D6D" w14:textId="77777777" w:rsidTr="00AB4589">
        <w:trPr>
          <w:trHeight w:val="33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29EC08C7" w14:textId="77777777" w:rsidR="00AB4589" w:rsidRPr="00A628DC" w:rsidRDefault="00AB4589" w:rsidP="00AB4589">
            <w:pPr>
              <w:spacing w:after="0"/>
              <w:rPr>
                <w:rFonts w:eastAsia="Times New Roman" w:cs="Arial"/>
                <w:lang w:eastAsia="en-GB"/>
              </w:rPr>
            </w:pPr>
            <w:r w:rsidRPr="00A628DC">
              <w:rPr>
                <w:rFonts w:eastAsia="Times New Roman" w:cs="Arial"/>
                <w:lang w:eastAsia="en-GB"/>
              </w:rPr>
              <w:t>Children's Services</w:t>
            </w:r>
          </w:p>
        </w:tc>
        <w:tc>
          <w:tcPr>
            <w:tcW w:w="1084" w:type="dxa"/>
            <w:tcBorders>
              <w:top w:val="nil"/>
              <w:left w:val="nil"/>
              <w:bottom w:val="single" w:sz="8" w:space="0" w:color="auto"/>
              <w:right w:val="single" w:sz="8" w:space="0" w:color="auto"/>
            </w:tcBorders>
            <w:shd w:val="clear" w:color="auto" w:fill="auto"/>
            <w:noWrap/>
            <w:vAlign w:val="center"/>
            <w:hideMark/>
          </w:tcPr>
          <w:p w14:paraId="5F199016"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6.662</w:t>
            </w:r>
          </w:p>
        </w:tc>
        <w:tc>
          <w:tcPr>
            <w:tcW w:w="1084" w:type="dxa"/>
            <w:tcBorders>
              <w:top w:val="nil"/>
              <w:left w:val="nil"/>
              <w:bottom w:val="single" w:sz="8" w:space="0" w:color="auto"/>
              <w:right w:val="single" w:sz="8" w:space="0" w:color="auto"/>
            </w:tcBorders>
            <w:shd w:val="clear" w:color="auto" w:fill="auto"/>
            <w:noWrap/>
            <w:vAlign w:val="center"/>
            <w:hideMark/>
          </w:tcPr>
          <w:p w14:paraId="72B97501"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1.888</w:t>
            </w:r>
          </w:p>
        </w:tc>
        <w:tc>
          <w:tcPr>
            <w:tcW w:w="1084" w:type="dxa"/>
            <w:tcBorders>
              <w:top w:val="nil"/>
              <w:left w:val="nil"/>
              <w:bottom w:val="single" w:sz="8" w:space="0" w:color="auto"/>
              <w:right w:val="single" w:sz="8" w:space="0" w:color="auto"/>
            </w:tcBorders>
            <w:shd w:val="clear" w:color="auto" w:fill="auto"/>
            <w:noWrap/>
            <w:vAlign w:val="center"/>
            <w:hideMark/>
          </w:tcPr>
          <w:p w14:paraId="4FCA9F79"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1.271</w:t>
            </w:r>
          </w:p>
        </w:tc>
        <w:tc>
          <w:tcPr>
            <w:tcW w:w="1084" w:type="dxa"/>
            <w:tcBorders>
              <w:top w:val="nil"/>
              <w:left w:val="nil"/>
              <w:bottom w:val="single" w:sz="8" w:space="0" w:color="auto"/>
              <w:right w:val="single" w:sz="8" w:space="0" w:color="auto"/>
            </w:tcBorders>
            <w:shd w:val="clear" w:color="auto" w:fill="auto"/>
            <w:noWrap/>
            <w:vAlign w:val="center"/>
            <w:hideMark/>
          </w:tcPr>
          <w:p w14:paraId="2B54C564"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1.900</w:t>
            </w:r>
          </w:p>
        </w:tc>
        <w:tc>
          <w:tcPr>
            <w:tcW w:w="1091" w:type="dxa"/>
            <w:tcBorders>
              <w:top w:val="nil"/>
              <w:left w:val="nil"/>
              <w:bottom w:val="single" w:sz="8" w:space="0" w:color="auto"/>
              <w:right w:val="single" w:sz="8" w:space="0" w:color="auto"/>
            </w:tcBorders>
            <w:shd w:val="clear" w:color="auto" w:fill="auto"/>
            <w:noWrap/>
            <w:vAlign w:val="center"/>
            <w:hideMark/>
          </w:tcPr>
          <w:p w14:paraId="6E255E66"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11.721</w:t>
            </w:r>
          </w:p>
        </w:tc>
      </w:tr>
      <w:tr w:rsidR="0015230B" w14:paraId="31A220A6" w14:textId="77777777" w:rsidTr="00AB4589">
        <w:trPr>
          <w:trHeight w:val="33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5843E780" w14:textId="77777777" w:rsidR="00AB4589" w:rsidRPr="00A628DC" w:rsidRDefault="00AB4589" w:rsidP="00AB4589">
            <w:pPr>
              <w:spacing w:after="0"/>
              <w:rPr>
                <w:rFonts w:eastAsia="Times New Roman" w:cs="Arial"/>
                <w:lang w:eastAsia="en-GB"/>
              </w:rPr>
            </w:pPr>
            <w:r w:rsidRPr="00A628DC">
              <w:rPr>
                <w:rFonts w:eastAsia="Times New Roman" w:cs="Arial"/>
                <w:lang w:eastAsia="en-GB"/>
              </w:rPr>
              <w:t>Waste Services</w:t>
            </w:r>
          </w:p>
        </w:tc>
        <w:tc>
          <w:tcPr>
            <w:tcW w:w="1084" w:type="dxa"/>
            <w:tcBorders>
              <w:top w:val="nil"/>
              <w:left w:val="nil"/>
              <w:bottom w:val="single" w:sz="8" w:space="0" w:color="auto"/>
              <w:right w:val="single" w:sz="8" w:space="0" w:color="auto"/>
            </w:tcBorders>
            <w:shd w:val="clear" w:color="auto" w:fill="auto"/>
            <w:noWrap/>
            <w:vAlign w:val="center"/>
            <w:hideMark/>
          </w:tcPr>
          <w:p w14:paraId="40150F96"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0.471</w:t>
            </w:r>
          </w:p>
        </w:tc>
        <w:tc>
          <w:tcPr>
            <w:tcW w:w="1084" w:type="dxa"/>
            <w:tcBorders>
              <w:top w:val="nil"/>
              <w:left w:val="nil"/>
              <w:bottom w:val="single" w:sz="8" w:space="0" w:color="auto"/>
              <w:right w:val="single" w:sz="8" w:space="0" w:color="auto"/>
            </w:tcBorders>
            <w:shd w:val="clear" w:color="auto" w:fill="auto"/>
            <w:noWrap/>
            <w:vAlign w:val="center"/>
            <w:hideMark/>
          </w:tcPr>
          <w:p w14:paraId="0303D187"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0.983</w:t>
            </w:r>
          </w:p>
        </w:tc>
        <w:tc>
          <w:tcPr>
            <w:tcW w:w="1084" w:type="dxa"/>
            <w:tcBorders>
              <w:top w:val="nil"/>
              <w:left w:val="nil"/>
              <w:bottom w:val="single" w:sz="8" w:space="0" w:color="auto"/>
              <w:right w:val="single" w:sz="8" w:space="0" w:color="auto"/>
            </w:tcBorders>
            <w:shd w:val="clear" w:color="auto" w:fill="auto"/>
            <w:noWrap/>
            <w:vAlign w:val="center"/>
            <w:hideMark/>
          </w:tcPr>
          <w:p w14:paraId="4489C7F6"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1.048</w:t>
            </w:r>
          </w:p>
        </w:tc>
        <w:tc>
          <w:tcPr>
            <w:tcW w:w="1084" w:type="dxa"/>
            <w:tcBorders>
              <w:top w:val="nil"/>
              <w:left w:val="nil"/>
              <w:bottom w:val="single" w:sz="8" w:space="0" w:color="auto"/>
              <w:right w:val="single" w:sz="8" w:space="0" w:color="auto"/>
            </w:tcBorders>
            <w:shd w:val="clear" w:color="auto" w:fill="auto"/>
            <w:noWrap/>
            <w:vAlign w:val="center"/>
            <w:hideMark/>
          </w:tcPr>
          <w:p w14:paraId="74C910BE"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1.048</w:t>
            </w:r>
          </w:p>
        </w:tc>
        <w:tc>
          <w:tcPr>
            <w:tcW w:w="1091" w:type="dxa"/>
            <w:tcBorders>
              <w:top w:val="nil"/>
              <w:left w:val="nil"/>
              <w:bottom w:val="single" w:sz="8" w:space="0" w:color="auto"/>
              <w:right w:val="single" w:sz="8" w:space="0" w:color="auto"/>
            </w:tcBorders>
            <w:shd w:val="clear" w:color="auto" w:fill="auto"/>
            <w:noWrap/>
            <w:vAlign w:val="center"/>
            <w:hideMark/>
          </w:tcPr>
          <w:p w14:paraId="60943AD6"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3.55</w:t>
            </w:r>
            <w:r>
              <w:rPr>
                <w:rFonts w:eastAsia="Times New Roman" w:cs="Arial"/>
                <w:b/>
                <w:bCs/>
                <w:lang w:eastAsia="en-GB"/>
              </w:rPr>
              <w:t>0</w:t>
            </w:r>
          </w:p>
        </w:tc>
      </w:tr>
      <w:tr w:rsidR="0015230B" w14:paraId="49A315A4" w14:textId="77777777" w:rsidTr="00AB4589">
        <w:trPr>
          <w:trHeight w:val="33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33CB5247" w14:textId="77777777" w:rsidR="00AB4589" w:rsidRPr="00A628DC" w:rsidRDefault="00AB4589" w:rsidP="00AB4589">
            <w:pPr>
              <w:spacing w:after="0"/>
              <w:rPr>
                <w:rFonts w:eastAsia="Times New Roman" w:cs="Arial"/>
                <w:lang w:eastAsia="en-GB"/>
              </w:rPr>
            </w:pPr>
            <w:r w:rsidRPr="00A628DC">
              <w:rPr>
                <w:rFonts w:eastAsia="Times New Roman" w:cs="Arial"/>
                <w:lang w:eastAsia="en-GB"/>
              </w:rPr>
              <w:t>Transport Services</w:t>
            </w:r>
          </w:p>
        </w:tc>
        <w:tc>
          <w:tcPr>
            <w:tcW w:w="1084" w:type="dxa"/>
            <w:tcBorders>
              <w:top w:val="nil"/>
              <w:left w:val="nil"/>
              <w:bottom w:val="nil"/>
              <w:right w:val="single" w:sz="8" w:space="0" w:color="auto"/>
            </w:tcBorders>
            <w:shd w:val="clear" w:color="auto" w:fill="auto"/>
            <w:noWrap/>
            <w:vAlign w:val="center"/>
            <w:hideMark/>
          </w:tcPr>
          <w:p w14:paraId="1A203CB2"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2.013</w:t>
            </w:r>
          </w:p>
        </w:tc>
        <w:tc>
          <w:tcPr>
            <w:tcW w:w="1084" w:type="dxa"/>
            <w:tcBorders>
              <w:top w:val="nil"/>
              <w:left w:val="nil"/>
              <w:bottom w:val="nil"/>
              <w:right w:val="single" w:sz="8" w:space="0" w:color="auto"/>
            </w:tcBorders>
            <w:shd w:val="clear" w:color="auto" w:fill="auto"/>
            <w:noWrap/>
            <w:vAlign w:val="center"/>
            <w:hideMark/>
          </w:tcPr>
          <w:p w14:paraId="61C53667"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0.907</w:t>
            </w:r>
          </w:p>
        </w:tc>
        <w:tc>
          <w:tcPr>
            <w:tcW w:w="1084" w:type="dxa"/>
            <w:tcBorders>
              <w:top w:val="nil"/>
              <w:left w:val="nil"/>
              <w:bottom w:val="nil"/>
              <w:right w:val="single" w:sz="8" w:space="0" w:color="auto"/>
            </w:tcBorders>
            <w:shd w:val="clear" w:color="auto" w:fill="auto"/>
            <w:noWrap/>
            <w:vAlign w:val="center"/>
            <w:hideMark/>
          </w:tcPr>
          <w:p w14:paraId="65C50108"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0.606</w:t>
            </w:r>
          </w:p>
        </w:tc>
        <w:tc>
          <w:tcPr>
            <w:tcW w:w="1084" w:type="dxa"/>
            <w:tcBorders>
              <w:top w:val="nil"/>
              <w:left w:val="nil"/>
              <w:bottom w:val="nil"/>
              <w:right w:val="single" w:sz="8" w:space="0" w:color="auto"/>
            </w:tcBorders>
            <w:shd w:val="clear" w:color="auto" w:fill="auto"/>
            <w:noWrap/>
            <w:vAlign w:val="center"/>
            <w:hideMark/>
          </w:tcPr>
          <w:p w14:paraId="51C57429"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0.690</w:t>
            </w:r>
          </w:p>
        </w:tc>
        <w:tc>
          <w:tcPr>
            <w:tcW w:w="1091" w:type="dxa"/>
            <w:tcBorders>
              <w:top w:val="nil"/>
              <w:left w:val="nil"/>
              <w:bottom w:val="single" w:sz="8" w:space="0" w:color="auto"/>
              <w:right w:val="single" w:sz="8" w:space="0" w:color="auto"/>
            </w:tcBorders>
            <w:shd w:val="clear" w:color="auto" w:fill="auto"/>
            <w:noWrap/>
            <w:vAlign w:val="center"/>
            <w:hideMark/>
          </w:tcPr>
          <w:p w14:paraId="1F062416"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4.216</w:t>
            </w:r>
          </w:p>
        </w:tc>
      </w:tr>
      <w:tr w:rsidR="0015230B" w14:paraId="2C196505" w14:textId="77777777" w:rsidTr="00AB4589">
        <w:trPr>
          <w:trHeight w:val="33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10821085" w14:textId="77777777" w:rsidR="00AB4589" w:rsidRPr="00A628DC" w:rsidRDefault="00AB4589" w:rsidP="00AB4589">
            <w:pPr>
              <w:spacing w:after="0"/>
              <w:rPr>
                <w:rFonts w:eastAsia="Times New Roman" w:cs="Arial"/>
                <w:lang w:eastAsia="en-GB"/>
              </w:rPr>
            </w:pPr>
            <w:r w:rsidRPr="00A628DC">
              <w:rPr>
                <w:rFonts w:eastAsia="Times New Roman" w:cs="Arial"/>
                <w:lang w:eastAsia="en-GB"/>
              </w:rPr>
              <w:t>Other Services</w:t>
            </w:r>
          </w:p>
        </w:tc>
        <w:tc>
          <w:tcPr>
            <w:tcW w:w="1084" w:type="dxa"/>
            <w:tcBorders>
              <w:top w:val="single" w:sz="8" w:space="0" w:color="auto"/>
              <w:left w:val="nil"/>
              <w:bottom w:val="single" w:sz="8" w:space="0" w:color="auto"/>
              <w:right w:val="single" w:sz="8" w:space="0" w:color="auto"/>
            </w:tcBorders>
            <w:shd w:val="clear" w:color="auto" w:fill="auto"/>
            <w:noWrap/>
            <w:vAlign w:val="center"/>
            <w:hideMark/>
          </w:tcPr>
          <w:p w14:paraId="68C06CEB"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-0.282</w:t>
            </w:r>
          </w:p>
        </w:tc>
        <w:tc>
          <w:tcPr>
            <w:tcW w:w="1084" w:type="dxa"/>
            <w:tcBorders>
              <w:top w:val="single" w:sz="8" w:space="0" w:color="auto"/>
              <w:left w:val="nil"/>
              <w:bottom w:val="single" w:sz="8" w:space="0" w:color="auto"/>
              <w:right w:val="single" w:sz="8" w:space="0" w:color="auto"/>
            </w:tcBorders>
            <w:shd w:val="clear" w:color="auto" w:fill="auto"/>
            <w:noWrap/>
            <w:vAlign w:val="center"/>
            <w:hideMark/>
          </w:tcPr>
          <w:p w14:paraId="391F72D3"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0.946</w:t>
            </w:r>
          </w:p>
        </w:tc>
        <w:tc>
          <w:tcPr>
            <w:tcW w:w="1084" w:type="dxa"/>
            <w:tcBorders>
              <w:top w:val="single" w:sz="8" w:space="0" w:color="auto"/>
              <w:left w:val="nil"/>
              <w:bottom w:val="single" w:sz="8" w:space="0" w:color="auto"/>
              <w:right w:val="single" w:sz="8" w:space="0" w:color="auto"/>
            </w:tcBorders>
            <w:shd w:val="clear" w:color="auto" w:fill="auto"/>
            <w:noWrap/>
            <w:vAlign w:val="center"/>
            <w:hideMark/>
          </w:tcPr>
          <w:p w14:paraId="0684E15F"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0.053</w:t>
            </w:r>
          </w:p>
        </w:tc>
        <w:tc>
          <w:tcPr>
            <w:tcW w:w="1084" w:type="dxa"/>
            <w:tcBorders>
              <w:top w:val="single" w:sz="8" w:space="0" w:color="auto"/>
              <w:left w:val="nil"/>
              <w:bottom w:val="single" w:sz="8" w:space="0" w:color="auto"/>
              <w:right w:val="single" w:sz="8" w:space="0" w:color="auto"/>
            </w:tcBorders>
            <w:shd w:val="clear" w:color="auto" w:fill="auto"/>
            <w:noWrap/>
            <w:vAlign w:val="center"/>
            <w:hideMark/>
          </w:tcPr>
          <w:p w14:paraId="32C6AF63"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0.056</w:t>
            </w:r>
          </w:p>
        </w:tc>
        <w:tc>
          <w:tcPr>
            <w:tcW w:w="1091" w:type="dxa"/>
            <w:tcBorders>
              <w:top w:val="nil"/>
              <w:left w:val="nil"/>
              <w:bottom w:val="single" w:sz="8" w:space="0" w:color="auto"/>
              <w:right w:val="single" w:sz="8" w:space="0" w:color="auto"/>
            </w:tcBorders>
            <w:shd w:val="clear" w:color="auto" w:fill="auto"/>
            <w:noWrap/>
            <w:vAlign w:val="center"/>
            <w:hideMark/>
          </w:tcPr>
          <w:p w14:paraId="0B433372"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0.773</w:t>
            </w:r>
          </w:p>
        </w:tc>
      </w:tr>
      <w:tr w:rsidR="0015230B" w14:paraId="6CEF936C" w14:textId="77777777" w:rsidTr="00AB4589">
        <w:trPr>
          <w:trHeight w:val="33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65454B07" w14:textId="77777777" w:rsidR="00AB4589" w:rsidRPr="00A628DC" w:rsidRDefault="00AB4589" w:rsidP="00AB4589">
            <w:pPr>
              <w:spacing w:after="0"/>
              <w:rPr>
                <w:rFonts w:eastAsia="Times New Roman" w:cs="Arial"/>
                <w:b/>
                <w:bCs/>
                <w:lang w:eastAsia="en-GB"/>
              </w:rPr>
            </w:pPr>
            <w:r w:rsidRPr="00A628DC">
              <w:rPr>
                <w:rFonts w:eastAsia="Times New Roman" w:cs="Arial"/>
                <w:b/>
                <w:bCs/>
                <w:lang w:eastAsia="en-GB"/>
              </w:rPr>
              <w:t>Revised Demand Requirements</w:t>
            </w:r>
          </w:p>
        </w:tc>
        <w:tc>
          <w:tcPr>
            <w:tcW w:w="1084" w:type="dxa"/>
            <w:tcBorders>
              <w:top w:val="nil"/>
              <w:left w:val="nil"/>
              <w:bottom w:val="nil"/>
              <w:right w:val="single" w:sz="8" w:space="0" w:color="auto"/>
            </w:tcBorders>
            <w:shd w:val="clear" w:color="auto" w:fill="auto"/>
            <w:noWrap/>
            <w:vAlign w:val="center"/>
            <w:hideMark/>
          </w:tcPr>
          <w:p w14:paraId="2E5C400F"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26.628</w:t>
            </w:r>
          </w:p>
        </w:tc>
        <w:tc>
          <w:tcPr>
            <w:tcW w:w="1084" w:type="dxa"/>
            <w:tcBorders>
              <w:top w:val="nil"/>
              <w:left w:val="nil"/>
              <w:bottom w:val="nil"/>
              <w:right w:val="single" w:sz="8" w:space="0" w:color="auto"/>
            </w:tcBorders>
            <w:shd w:val="clear" w:color="auto" w:fill="auto"/>
            <w:noWrap/>
            <w:vAlign w:val="center"/>
            <w:hideMark/>
          </w:tcPr>
          <w:p w14:paraId="2412443C"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15.297</w:t>
            </w:r>
          </w:p>
        </w:tc>
        <w:tc>
          <w:tcPr>
            <w:tcW w:w="1084" w:type="dxa"/>
            <w:tcBorders>
              <w:top w:val="nil"/>
              <w:left w:val="nil"/>
              <w:bottom w:val="nil"/>
              <w:right w:val="single" w:sz="8" w:space="0" w:color="auto"/>
            </w:tcBorders>
            <w:shd w:val="clear" w:color="auto" w:fill="auto"/>
            <w:noWrap/>
            <w:vAlign w:val="center"/>
            <w:hideMark/>
          </w:tcPr>
          <w:p w14:paraId="6BD081E5"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13.141</w:t>
            </w:r>
          </w:p>
        </w:tc>
        <w:tc>
          <w:tcPr>
            <w:tcW w:w="1084" w:type="dxa"/>
            <w:tcBorders>
              <w:top w:val="nil"/>
              <w:left w:val="nil"/>
              <w:bottom w:val="nil"/>
              <w:right w:val="single" w:sz="8" w:space="0" w:color="auto"/>
            </w:tcBorders>
            <w:shd w:val="clear" w:color="auto" w:fill="auto"/>
            <w:noWrap/>
            <w:vAlign w:val="center"/>
            <w:hideMark/>
          </w:tcPr>
          <w:p w14:paraId="39140EB3"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12.510</w:t>
            </w:r>
          </w:p>
        </w:tc>
        <w:tc>
          <w:tcPr>
            <w:tcW w:w="1091" w:type="dxa"/>
            <w:tcBorders>
              <w:top w:val="nil"/>
              <w:left w:val="nil"/>
              <w:bottom w:val="single" w:sz="8" w:space="0" w:color="auto"/>
              <w:right w:val="single" w:sz="8" w:space="0" w:color="auto"/>
            </w:tcBorders>
            <w:shd w:val="clear" w:color="auto" w:fill="auto"/>
            <w:noWrap/>
            <w:vAlign w:val="center"/>
            <w:hideMark/>
          </w:tcPr>
          <w:p w14:paraId="5184C111"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67.576</w:t>
            </w:r>
          </w:p>
        </w:tc>
      </w:tr>
      <w:tr w:rsidR="0015230B" w14:paraId="57D359CD" w14:textId="77777777" w:rsidTr="00AB4589">
        <w:trPr>
          <w:trHeight w:val="33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3DF785CE" w14:textId="77777777" w:rsidR="00AB4589" w:rsidRPr="00A628DC" w:rsidRDefault="00AB4589" w:rsidP="00AB4589">
            <w:pPr>
              <w:spacing w:after="0"/>
              <w:rPr>
                <w:rFonts w:eastAsia="Times New Roman" w:cs="Arial"/>
                <w:lang w:eastAsia="en-GB"/>
              </w:rPr>
            </w:pPr>
            <w:r w:rsidRPr="00A628DC">
              <w:rPr>
                <w:rFonts w:eastAsia="Times New Roman" w:cs="Arial"/>
                <w:lang w:eastAsia="en-GB"/>
              </w:rPr>
              <w:t> </w:t>
            </w:r>
          </w:p>
        </w:tc>
        <w:tc>
          <w:tcPr>
            <w:tcW w:w="1084" w:type="dxa"/>
            <w:tcBorders>
              <w:top w:val="single" w:sz="8" w:space="0" w:color="auto"/>
              <w:left w:val="nil"/>
              <w:bottom w:val="single" w:sz="8" w:space="0" w:color="auto"/>
              <w:right w:val="single" w:sz="8" w:space="0" w:color="auto"/>
            </w:tcBorders>
            <w:shd w:val="clear" w:color="auto" w:fill="auto"/>
            <w:noWrap/>
            <w:vAlign w:val="center"/>
            <w:hideMark/>
          </w:tcPr>
          <w:p w14:paraId="5BD4F525"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 </w:t>
            </w:r>
          </w:p>
        </w:tc>
        <w:tc>
          <w:tcPr>
            <w:tcW w:w="1084" w:type="dxa"/>
            <w:tcBorders>
              <w:top w:val="single" w:sz="8" w:space="0" w:color="auto"/>
              <w:left w:val="nil"/>
              <w:bottom w:val="single" w:sz="8" w:space="0" w:color="auto"/>
              <w:right w:val="single" w:sz="8" w:space="0" w:color="auto"/>
            </w:tcBorders>
            <w:shd w:val="clear" w:color="auto" w:fill="auto"/>
            <w:noWrap/>
            <w:vAlign w:val="center"/>
            <w:hideMark/>
          </w:tcPr>
          <w:p w14:paraId="13CD66F5"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 </w:t>
            </w:r>
          </w:p>
        </w:tc>
        <w:tc>
          <w:tcPr>
            <w:tcW w:w="1084" w:type="dxa"/>
            <w:tcBorders>
              <w:top w:val="single" w:sz="8" w:space="0" w:color="auto"/>
              <w:left w:val="nil"/>
              <w:bottom w:val="single" w:sz="8" w:space="0" w:color="auto"/>
              <w:right w:val="single" w:sz="8" w:space="0" w:color="auto"/>
            </w:tcBorders>
            <w:shd w:val="clear" w:color="auto" w:fill="auto"/>
            <w:noWrap/>
            <w:vAlign w:val="center"/>
            <w:hideMark/>
          </w:tcPr>
          <w:p w14:paraId="49F388AA"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 </w:t>
            </w:r>
          </w:p>
        </w:tc>
        <w:tc>
          <w:tcPr>
            <w:tcW w:w="1084" w:type="dxa"/>
            <w:tcBorders>
              <w:top w:val="single" w:sz="8" w:space="0" w:color="auto"/>
              <w:left w:val="nil"/>
              <w:bottom w:val="single" w:sz="8" w:space="0" w:color="auto"/>
              <w:right w:val="single" w:sz="8" w:space="0" w:color="auto"/>
            </w:tcBorders>
            <w:shd w:val="clear" w:color="auto" w:fill="auto"/>
            <w:noWrap/>
            <w:vAlign w:val="center"/>
            <w:hideMark/>
          </w:tcPr>
          <w:p w14:paraId="1ECEBC6C"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 </w:t>
            </w:r>
          </w:p>
        </w:tc>
        <w:tc>
          <w:tcPr>
            <w:tcW w:w="1091" w:type="dxa"/>
            <w:tcBorders>
              <w:top w:val="nil"/>
              <w:left w:val="nil"/>
              <w:bottom w:val="single" w:sz="8" w:space="0" w:color="auto"/>
              <w:right w:val="single" w:sz="8" w:space="0" w:color="auto"/>
            </w:tcBorders>
            <w:shd w:val="clear" w:color="auto" w:fill="auto"/>
            <w:noWrap/>
            <w:vAlign w:val="center"/>
            <w:hideMark/>
          </w:tcPr>
          <w:p w14:paraId="7C1F4CD4"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 </w:t>
            </w:r>
          </w:p>
        </w:tc>
      </w:tr>
      <w:tr w:rsidR="0015230B" w14:paraId="56378F9C" w14:textId="77777777" w:rsidTr="00AB4589">
        <w:trPr>
          <w:trHeight w:val="33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6228DFD1" w14:textId="77777777" w:rsidR="00AB4589" w:rsidRPr="00A628DC" w:rsidRDefault="00AB4589" w:rsidP="00AB4589">
            <w:pPr>
              <w:spacing w:after="0"/>
              <w:rPr>
                <w:rFonts w:eastAsia="Times New Roman" w:cs="Arial"/>
                <w:b/>
                <w:bCs/>
                <w:lang w:eastAsia="en-GB"/>
              </w:rPr>
            </w:pPr>
            <w:r w:rsidRPr="00A628DC">
              <w:rPr>
                <w:rFonts w:eastAsia="Times New Roman" w:cs="Arial"/>
                <w:b/>
                <w:bCs/>
                <w:lang w:eastAsia="en-GB"/>
              </w:rPr>
              <w:t>Demand – previous MTFS</w:t>
            </w:r>
          </w:p>
        </w:tc>
        <w:tc>
          <w:tcPr>
            <w:tcW w:w="1084" w:type="dxa"/>
            <w:tcBorders>
              <w:top w:val="nil"/>
              <w:left w:val="nil"/>
              <w:bottom w:val="single" w:sz="8" w:space="0" w:color="auto"/>
              <w:right w:val="single" w:sz="8" w:space="0" w:color="auto"/>
            </w:tcBorders>
            <w:shd w:val="clear" w:color="auto" w:fill="auto"/>
            <w:noWrap/>
            <w:vAlign w:val="center"/>
            <w:hideMark/>
          </w:tcPr>
          <w:p w14:paraId="551F46AA"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23.068</w:t>
            </w:r>
          </w:p>
        </w:tc>
        <w:tc>
          <w:tcPr>
            <w:tcW w:w="1084" w:type="dxa"/>
            <w:tcBorders>
              <w:top w:val="nil"/>
              <w:left w:val="nil"/>
              <w:bottom w:val="single" w:sz="8" w:space="0" w:color="auto"/>
              <w:right w:val="single" w:sz="8" w:space="0" w:color="auto"/>
            </w:tcBorders>
            <w:shd w:val="clear" w:color="auto" w:fill="auto"/>
            <w:noWrap/>
            <w:vAlign w:val="center"/>
            <w:hideMark/>
          </w:tcPr>
          <w:p w14:paraId="2BE6DD9F"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14.337</w:t>
            </w:r>
          </w:p>
        </w:tc>
        <w:tc>
          <w:tcPr>
            <w:tcW w:w="1084" w:type="dxa"/>
            <w:tcBorders>
              <w:top w:val="nil"/>
              <w:left w:val="nil"/>
              <w:bottom w:val="single" w:sz="8" w:space="0" w:color="auto"/>
              <w:right w:val="single" w:sz="8" w:space="0" w:color="auto"/>
            </w:tcBorders>
            <w:shd w:val="clear" w:color="auto" w:fill="auto"/>
            <w:noWrap/>
            <w:vAlign w:val="center"/>
            <w:hideMark/>
          </w:tcPr>
          <w:p w14:paraId="52D0EBE3"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13.457</w:t>
            </w:r>
          </w:p>
        </w:tc>
        <w:tc>
          <w:tcPr>
            <w:tcW w:w="1084" w:type="dxa"/>
            <w:tcBorders>
              <w:top w:val="nil"/>
              <w:left w:val="nil"/>
              <w:bottom w:val="single" w:sz="8" w:space="0" w:color="auto"/>
              <w:right w:val="single" w:sz="8" w:space="0" w:color="auto"/>
            </w:tcBorders>
            <w:shd w:val="clear" w:color="auto" w:fill="auto"/>
            <w:noWrap/>
            <w:vAlign w:val="center"/>
            <w:hideMark/>
          </w:tcPr>
          <w:p w14:paraId="33F6361D"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 </w:t>
            </w:r>
          </w:p>
        </w:tc>
        <w:tc>
          <w:tcPr>
            <w:tcW w:w="1091" w:type="dxa"/>
            <w:tcBorders>
              <w:top w:val="nil"/>
              <w:left w:val="nil"/>
              <w:bottom w:val="single" w:sz="8" w:space="0" w:color="auto"/>
              <w:right w:val="single" w:sz="8" w:space="0" w:color="auto"/>
            </w:tcBorders>
            <w:shd w:val="clear" w:color="auto" w:fill="auto"/>
            <w:noWrap/>
            <w:vAlign w:val="center"/>
            <w:hideMark/>
          </w:tcPr>
          <w:p w14:paraId="0786B76D"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50.862</w:t>
            </w:r>
          </w:p>
        </w:tc>
      </w:tr>
      <w:tr w:rsidR="0015230B" w14:paraId="4A2DE61F" w14:textId="77777777" w:rsidTr="00AB4589">
        <w:trPr>
          <w:trHeight w:val="33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2C8D4AA9" w14:textId="77777777" w:rsidR="00AB4589" w:rsidRPr="00A628DC" w:rsidRDefault="00AB4589" w:rsidP="00AB4589">
            <w:pPr>
              <w:spacing w:after="0"/>
              <w:rPr>
                <w:rFonts w:eastAsia="Times New Roman" w:cs="Arial"/>
                <w:lang w:eastAsia="en-GB"/>
              </w:rPr>
            </w:pPr>
            <w:r w:rsidRPr="00A628DC">
              <w:rPr>
                <w:rFonts w:eastAsia="Times New Roman" w:cs="Arial"/>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4375F9F4"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2002E733" w14:textId="77777777" w:rsidR="00AB4589" w:rsidRPr="00A628DC" w:rsidRDefault="00AB4589" w:rsidP="00AB4589">
            <w:pPr>
              <w:spacing w:after="0"/>
              <w:jc w:val="right"/>
              <w:rPr>
                <w:rFonts w:eastAsia="Times New Roman" w:cs="Arial"/>
                <w:lang w:eastAsia="en-GB"/>
              </w:rPr>
            </w:pPr>
            <w:r w:rsidRPr="00A628DC">
              <w:rPr>
                <w:rFonts w:eastAsia="Times New Roman" w:cs="Arial"/>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2A6C5609"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192D6E30"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 </w:t>
            </w:r>
          </w:p>
        </w:tc>
        <w:tc>
          <w:tcPr>
            <w:tcW w:w="1091" w:type="dxa"/>
            <w:tcBorders>
              <w:top w:val="nil"/>
              <w:left w:val="nil"/>
              <w:bottom w:val="single" w:sz="8" w:space="0" w:color="auto"/>
              <w:right w:val="single" w:sz="8" w:space="0" w:color="auto"/>
            </w:tcBorders>
            <w:shd w:val="clear" w:color="auto" w:fill="auto"/>
            <w:noWrap/>
            <w:vAlign w:val="center"/>
            <w:hideMark/>
          </w:tcPr>
          <w:p w14:paraId="7EE8F5E2"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 </w:t>
            </w:r>
          </w:p>
        </w:tc>
      </w:tr>
      <w:tr w:rsidR="0015230B" w14:paraId="6158891D" w14:textId="77777777" w:rsidTr="00AB4589">
        <w:trPr>
          <w:trHeight w:val="33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5DE21963" w14:textId="77777777" w:rsidR="00AB4589" w:rsidRPr="00A628DC" w:rsidRDefault="00AB4589" w:rsidP="00AB4589">
            <w:pPr>
              <w:spacing w:after="0"/>
              <w:rPr>
                <w:rFonts w:eastAsia="Times New Roman" w:cs="Arial"/>
                <w:b/>
                <w:bCs/>
                <w:lang w:eastAsia="en-GB"/>
              </w:rPr>
            </w:pPr>
            <w:r w:rsidRPr="00A628DC">
              <w:rPr>
                <w:rFonts w:eastAsia="Times New Roman" w:cs="Arial"/>
                <w:b/>
                <w:bCs/>
                <w:lang w:eastAsia="en-GB"/>
              </w:rPr>
              <w:t>Impact on Financial Gap</w:t>
            </w:r>
          </w:p>
        </w:tc>
        <w:tc>
          <w:tcPr>
            <w:tcW w:w="1084" w:type="dxa"/>
            <w:tcBorders>
              <w:top w:val="nil"/>
              <w:left w:val="nil"/>
              <w:bottom w:val="single" w:sz="8" w:space="0" w:color="auto"/>
              <w:right w:val="single" w:sz="8" w:space="0" w:color="auto"/>
            </w:tcBorders>
            <w:shd w:val="clear" w:color="auto" w:fill="auto"/>
            <w:noWrap/>
            <w:vAlign w:val="center"/>
            <w:hideMark/>
          </w:tcPr>
          <w:p w14:paraId="45F4DAE8"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3.560</w:t>
            </w:r>
          </w:p>
        </w:tc>
        <w:tc>
          <w:tcPr>
            <w:tcW w:w="1084" w:type="dxa"/>
            <w:tcBorders>
              <w:top w:val="nil"/>
              <w:left w:val="nil"/>
              <w:bottom w:val="single" w:sz="8" w:space="0" w:color="auto"/>
              <w:right w:val="single" w:sz="8" w:space="0" w:color="auto"/>
            </w:tcBorders>
            <w:shd w:val="clear" w:color="auto" w:fill="auto"/>
            <w:noWrap/>
            <w:vAlign w:val="center"/>
            <w:hideMark/>
          </w:tcPr>
          <w:p w14:paraId="5D7EDE5B"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0.960</w:t>
            </w:r>
          </w:p>
        </w:tc>
        <w:tc>
          <w:tcPr>
            <w:tcW w:w="1084" w:type="dxa"/>
            <w:tcBorders>
              <w:top w:val="nil"/>
              <w:left w:val="nil"/>
              <w:bottom w:val="single" w:sz="8" w:space="0" w:color="auto"/>
              <w:right w:val="single" w:sz="8" w:space="0" w:color="auto"/>
            </w:tcBorders>
            <w:shd w:val="clear" w:color="auto" w:fill="auto"/>
            <w:noWrap/>
            <w:vAlign w:val="center"/>
            <w:hideMark/>
          </w:tcPr>
          <w:p w14:paraId="67252E5C"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-0.316</w:t>
            </w:r>
          </w:p>
        </w:tc>
        <w:tc>
          <w:tcPr>
            <w:tcW w:w="1084" w:type="dxa"/>
            <w:tcBorders>
              <w:top w:val="nil"/>
              <w:left w:val="nil"/>
              <w:bottom w:val="single" w:sz="8" w:space="0" w:color="auto"/>
              <w:right w:val="single" w:sz="8" w:space="0" w:color="auto"/>
            </w:tcBorders>
            <w:shd w:val="clear" w:color="auto" w:fill="auto"/>
            <w:noWrap/>
            <w:vAlign w:val="center"/>
            <w:hideMark/>
          </w:tcPr>
          <w:p w14:paraId="18706F71"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12.510</w:t>
            </w:r>
          </w:p>
        </w:tc>
        <w:tc>
          <w:tcPr>
            <w:tcW w:w="1091" w:type="dxa"/>
            <w:tcBorders>
              <w:top w:val="nil"/>
              <w:left w:val="nil"/>
              <w:bottom w:val="single" w:sz="8" w:space="0" w:color="auto"/>
              <w:right w:val="single" w:sz="8" w:space="0" w:color="auto"/>
            </w:tcBorders>
            <w:shd w:val="clear" w:color="auto" w:fill="auto"/>
            <w:noWrap/>
            <w:vAlign w:val="center"/>
            <w:hideMark/>
          </w:tcPr>
          <w:p w14:paraId="2C700ABC" w14:textId="77777777" w:rsidR="00AB4589" w:rsidRPr="00A628DC" w:rsidRDefault="00AB4589" w:rsidP="00AB4589">
            <w:pPr>
              <w:spacing w:after="0"/>
              <w:jc w:val="right"/>
              <w:rPr>
                <w:rFonts w:eastAsia="Times New Roman" w:cs="Arial"/>
                <w:b/>
                <w:bCs/>
                <w:lang w:eastAsia="en-GB"/>
              </w:rPr>
            </w:pPr>
            <w:r w:rsidRPr="00A628DC">
              <w:rPr>
                <w:rFonts w:eastAsia="Times New Roman" w:cs="Arial"/>
                <w:b/>
                <w:bCs/>
                <w:lang w:eastAsia="en-GB"/>
              </w:rPr>
              <w:t>16.714</w:t>
            </w:r>
          </w:p>
        </w:tc>
      </w:tr>
    </w:tbl>
    <w:p w14:paraId="1C910DEE" w14:textId="77777777" w:rsidR="00AB4589" w:rsidRPr="00813473" w:rsidRDefault="00AB4589" w:rsidP="00AB4589">
      <w:pPr>
        <w:tabs>
          <w:tab w:val="left" w:pos="567"/>
          <w:tab w:val="left" w:pos="1134"/>
        </w:tabs>
        <w:spacing w:after="0"/>
        <w:rPr>
          <w:rFonts w:cs="Arial"/>
          <w:highlight w:val="yellow"/>
        </w:rPr>
      </w:pPr>
    </w:p>
    <w:p w14:paraId="03D028A0" w14:textId="77777777" w:rsidR="00AB4589" w:rsidRPr="00157148" w:rsidRDefault="00AB4589" w:rsidP="00AB4589">
      <w:pPr>
        <w:spacing w:after="0"/>
        <w:rPr>
          <w:rFonts w:cs="Arial"/>
        </w:rPr>
      </w:pPr>
      <w:r w:rsidRPr="007C1F40">
        <w:rPr>
          <w:rFonts w:cs="Arial"/>
        </w:rPr>
        <w:t>Adult social care represents a large proportion of the demand</w:t>
      </w:r>
      <w:r w:rsidRPr="007C1F40">
        <w:rPr>
          <w:rFonts w:cs="Arial"/>
          <w:b/>
        </w:rPr>
        <w:t xml:space="preserve"> </w:t>
      </w:r>
      <w:r w:rsidRPr="007C1F40">
        <w:rPr>
          <w:rFonts w:cs="Arial"/>
        </w:rPr>
        <w:t>pressures.</w:t>
      </w:r>
      <w:r w:rsidRPr="007C1F40">
        <w:rPr>
          <w:rFonts w:cs="Arial"/>
          <w:b/>
        </w:rPr>
        <w:t xml:space="preserve">  </w:t>
      </w:r>
      <w:r w:rsidRPr="007C1F40">
        <w:rPr>
          <w:rFonts w:cs="Arial"/>
        </w:rPr>
        <w:t xml:space="preserve">Adult </w:t>
      </w:r>
      <w:r>
        <w:rPr>
          <w:rFonts w:cs="Arial"/>
        </w:rPr>
        <w:t>s</w:t>
      </w:r>
      <w:r w:rsidRPr="007C1F40">
        <w:rPr>
          <w:rFonts w:cs="Arial"/>
        </w:rPr>
        <w:t xml:space="preserve">ocial </w:t>
      </w:r>
      <w:r>
        <w:rPr>
          <w:rFonts w:cs="Arial"/>
        </w:rPr>
        <w:t>c</w:t>
      </w:r>
      <w:r w:rsidRPr="007C1F40">
        <w:rPr>
          <w:rFonts w:cs="Arial"/>
        </w:rPr>
        <w:t xml:space="preserve">are has long seen annual increases in the demand for services and the MTFS attempts to predict growth in future years largely based on reviewing current and past activity trends and also taking into account future population changes, particularly with regard to the ageing population. From a social care perspective demand covers both increasing numbers of people eligible for support and the increasing complexity of those cases.  The level of demand included for this service area </w:t>
      </w:r>
      <w:r>
        <w:rPr>
          <w:rFonts w:cs="Arial"/>
        </w:rPr>
        <w:t xml:space="preserve">for the four years to 2023/24 is £47.316m. This </w:t>
      </w:r>
      <w:r w:rsidRPr="00157148">
        <w:rPr>
          <w:rFonts w:cs="Arial"/>
        </w:rPr>
        <w:t xml:space="preserve">will continue to be monitored and figures may be updated in future MTFS reports. </w:t>
      </w:r>
    </w:p>
    <w:p w14:paraId="63B32856" w14:textId="77777777" w:rsidR="00AB4589" w:rsidRPr="00813473" w:rsidRDefault="00AB4589" w:rsidP="00AB4589">
      <w:pPr>
        <w:spacing w:after="0"/>
        <w:ind w:left="502"/>
        <w:rPr>
          <w:rFonts w:cs="Arial"/>
          <w:highlight w:val="yellow"/>
        </w:rPr>
      </w:pPr>
    </w:p>
    <w:p w14:paraId="6B1F5D81" w14:textId="500BF190" w:rsidR="00AB4589" w:rsidRDefault="00AB4589" w:rsidP="00AB4589">
      <w:pPr>
        <w:spacing w:after="0"/>
        <w:rPr>
          <w:rFonts w:cs="Arial"/>
        </w:rPr>
      </w:pPr>
      <w:r w:rsidRPr="00157148">
        <w:rPr>
          <w:rFonts w:cs="Arial"/>
        </w:rPr>
        <w:t>Children's social care continues to experience demand pressures across the service, particularly in relation to placement demand due to the number of looked after children in Lancashire. The funding requirement for children's social care has increased by £</w:t>
      </w:r>
      <w:r>
        <w:rPr>
          <w:rFonts w:cs="Arial"/>
        </w:rPr>
        <w:t>11</w:t>
      </w:r>
      <w:r w:rsidRPr="00157148">
        <w:rPr>
          <w:rFonts w:cs="Arial"/>
        </w:rPr>
        <w:t>.</w:t>
      </w:r>
      <w:r>
        <w:rPr>
          <w:rFonts w:cs="Arial"/>
        </w:rPr>
        <w:t>721</w:t>
      </w:r>
      <w:r w:rsidRPr="00157148">
        <w:rPr>
          <w:rFonts w:cs="Arial"/>
        </w:rPr>
        <w:t xml:space="preserve">m over the 4 year period to reflect increased demand across children looked after placements and family support for children with disabilities. </w:t>
      </w:r>
      <w:r w:rsidRPr="000A0194">
        <w:rPr>
          <w:rFonts w:cs="Arial"/>
        </w:rPr>
        <w:t xml:space="preserve">We are looking at best practice sites across the country to explore opportunities to reduce demand in a way that delivers better outcomes for children. As a result of a successful bid to the </w:t>
      </w:r>
      <w:r w:rsidR="00C61025">
        <w:rPr>
          <w:rFonts w:cs="Arial"/>
        </w:rPr>
        <w:t>D</w:t>
      </w:r>
      <w:r w:rsidRPr="000A0194">
        <w:rPr>
          <w:rFonts w:cs="Arial"/>
        </w:rPr>
        <w:t xml:space="preserve">epartment </w:t>
      </w:r>
      <w:r w:rsidR="00C61025">
        <w:rPr>
          <w:rFonts w:cs="Arial"/>
        </w:rPr>
        <w:t>f</w:t>
      </w:r>
      <w:r w:rsidRPr="000A0194">
        <w:rPr>
          <w:rFonts w:cs="Arial"/>
        </w:rPr>
        <w:t xml:space="preserve">or </w:t>
      </w:r>
      <w:r w:rsidR="00C61025">
        <w:rPr>
          <w:rFonts w:cs="Arial"/>
        </w:rPr>
        <w:t>E</w:t>
      </w:r>
      <w:r w:rsidRPr="000A0194">
        <w:rPr>
          <w:rFonts w:cs="Arial"/>
        </w:rPr>
        <w:t xml:space="preserve">ducation we have commenced planning to implement Lancashire </w:t>
      </w:r>
      <w:r>
        <w:rPr>
          <w:rFonts w:cs="Arial"/>
        </w:rPr>
        <w:t>f</w:t>
      </w:r>
      <w:r w:rsidRPr="000A0194">
        <w:rPr>
          <w:rFonts w:cs="Arial"/>
        </w:rPr>
        <w:t xml:space="preserve">amily </w:t>
      </w:r>
      <w:r>
        <w:rPr>
          <w:rFonts w:cs="Arial"/>
        </w:rPr>
        <w:t>s</w:t>
      </w:r>
      <w:r w:rsidRPr="000A0194">
        <w:rPr>
          <w:rFonts w:cs="Arial"/>
        </w:rPr>
        <w:t xml:space="preserve">afeguarding. The </w:t>
      </w:r>
      <w:r w:rsidRPr="000A0194">
        <w:rPr>
          <w:rFonts w:cs="Arial"/>
          <w:bCs/>
        </w:rPr>
        <w:t>family safeguarding model</w:t>
      </w:r>
      <w:r w:rsidRPr="000A0194">
        <w:rPr>
          <w:rFonts w:cs="Arial"/>
        </w:rPr>
        <w:t xml:space="preserve"> is a way of keeping </w:t>
      </w:r>
      <w:r w:rsidRPr="000A0194">
        <w:rPr>
          <w:rFonts w:cs="Arial"/>
          <w:bCs/>
        </w:rPr>
        <w:t>families</w:t>
      </w:r>
      <w:r w:rsidRPr="000A0194">
        <w:rPr>
          <w:rFonts w:cs="Arial"/>
        </w:rPr>
        <w:t xml:space="preserve"> together where it is safe to do so. This is achieved through a more collaborative way of working where we motivate parents to identify the changes needed within their own </w:t>
      </w:r>
      <w:r w:rsidRPr="000A0194">
        <w:rPr>
          <w:rFonts w:cs="Arial"/>
          <w:bCs/>
        </w:rPr>
        <w:t>families</w:t>
      </w:r>
      <w:r w:rsidRPr="000A0194">
        <w:rPr>
          <w:rFonts w:cs="Arial"/>
        </w:rPr>
        <w:t xml:space="preserve">. This helps achieve better outcomes for children. </w:t>
      </w:r>
      <w:r>
        <w:rPr>
          <w:rFonts w:cs="Arial"/>
        </w:rPr>
        <w:t xml:space="preserve">This initiative </w:t>
      </w:r>
      <w:r w:rsidR="00F43E08">
        <w:rPr>
          <w:rFonts w:cs="Arial"/>
        </w:rPr>
        <w:t xml:space="preserve">is forecast to </w:t>
      </w:r>
      <w:r>
        <w:rPr>
          <w:rFonts w:cs="Arial"/>
        </w:rPr>
        <w:t xml:space="preserve">will ultimately deliver c£10m of recurrent savings </w:t>
      </w:r>
      <w:r w:rsidR="00F43E08">
        <w:rPr>
          <w:rFonts w:cs="Arial"/>
        </w:rPr>
        <w:t xml:space="preserve">by 2025/26 </w:t>
      </w:r>
      <w:r>
        <w:rPr>
          <w:rFonts w:cs="Arial"/>
        </w:rPr>
        <w:t xml:space="preserve">of which £6.812m </w:t>
      </w:r>
      <w:r w:rsidR="00F43E08">
        <w:rPr>
          <w:rFonts w:cs="Arial"/>
        </w:rPr>
        <w:t xml:space="preserve">are profiled to be delivered </w:t>
      </w:r>
      <w:r w:rsidR="00C61025">
        <w:rPr>
          <w:rFonts w:cs="Arial"/>
        </w:rPr>
        <w:t>and built</w:t>
      </w:r>
      <w:r>
        <w:rPr>
          <w:rFonts w:cs="Arial"/>
        </w:rPr>
        <w:t xml:space="preserve"> into the </w:t>
      </w:r>
      <w:r w:rsidR="00F43E08">
        <w:rPr>
          <w:rFonts w:cs="Arial"/>
        </w:rPr>
        <w:t xml:space="preserve">timeframes covered by this </w:t>
      </w:r>
      <w:r>
        <w:rPr>
          <w:rFonts w:cs="Arial"/>
        </w:rPr>
        <w:t>MTFS.</w:t>
      </w:r>
    </w:p>
    <w:p w14:paraId="2D531E24" w14:textId="77777777" w:rsidR="00AB4589" w:rsidRDefault="00AB4589" w:rsidP="00AB4589">
      <w:pPr>
        <w:spacing w:after="0"/>
        <w:rPr>
          <w:rFonts w:cs="Arial"/>
        </w:rPr>
      </w:pPr>
    </w:p>
    <w:p w14:paraId="68B823B7" w14:textId="77777777" w:rsidR="00AB4589" w:rsidRPr="000A0194" w:rsidRDefault="00AB4589" w:rsidP="00AB4589">
      <w:pPr>
        <w:spacing w:after="0"/>
        <w:rPr>
          <w:rFonts w:cs="Arial"/>
        </w:rPr>
      </w:pPr>
      <w:r w:rsidRPr="000A0194">
        <w:rPr>
          <w:rFonts w:cs="Arial"/>
        </w:rPr>
        <w:t xml:space="preserve">A number of other initiatives are being reviewed but as yet no formal conclusions have been reached and hence no impacts are included in the MTFS. </w:t>
      </w:r>
    </w:p>
    <w:p w14:paraId="7B3F1F1C" w14:textId="77777777" w:rsidR="00AB4589" w:rsidRPr="006509F2" w:rsidRDefault="00AB4589" w:rsidP="00AB4589">
      <w:pPr>
        <w:spacing w:after="0"/>
        <w:rPr>
          <w:rFonts w:cs="Arial"/>
          <w:highlight w:val="yellow"/>
        </w:rPr>
      </w:pPr>
    </w:p>
    <w:p w14:paraId="3F996A23" w14:textId="77777777" w:rsidR="00AB4589" w:rsidRPr="00FE742A" w:rsidRDefault="00AB4589" w:rsidP="00AB4589">
      <w:pPr>
        <w:spacing w:after="0"/>
        <w:rPr>
          <w:rFonts w:cs="Arial"/>
        </w:rPr>
      </w:pPr>
      <w:r w:rsidRPr="00FE742A">
        <w:rPr>
          <w:rFonts w:cs="Arial"/>
        </w:rPr>
        <w:t>The public and integrated transport budget continues to see rising demand pressures. As part of this MTFS an additional £4.</w:t>
      </w:r>
      <w:r>
        <w:rPr>
          <w:rFonts w:cs="Arial"/>
        </w:rPr>
        <w:t>216</w:t>
      </w:r>
      <w:r w:rsidRPr="00FE742A">
        <w:rPr>
          <w:rFonts w:cs="Arial"/>
        </w:rPr>
        <w:t xml:space="preserve">m has been budgeted for across 2020/21 – 2023/24. </w:t>
      </w:r>
    </w:p>
    <w:p w14:paraId="7B898904" w14:textId="77777777" w:rsidR="00AB4589" w:rsidRPr="00813473" w:rsidRDefault="00AB4589" w:rsidP="00AB4589">
      <w:pPr>
        <w:spacing w:after="0"/>
        <w:rPr>
          <w:rFonts w:cs="Arial"/>
          <w:highlight w:val="yellow"/>
        </w:rPr>
      </w:pPr>
    </w:p>
    <w:p w14:paraId="665A6985" w14:textId="77777777" w:rsidR="00AB4589" w:rsidRPr="003A40B3" w:rsidRDefault="00AB4589" w:rsidP="00AB4589">
      <w:pPr>
        <w:tabs>
          <w:tab w:val="left" w:pos="567"/>
          <w:tab w:val="left" w:pos="1134"/>
        </w:tabs>
        <w:spacing w:after="0"/>
        <w:rPr>
          <w:rFonts w:cs="Arial"/>
          <w:b/>
        </w:rPr>
      </w:pPr>
      <w:r w:rsidRPr="003A40B3">
        <w:rPr>
          <w:rFonts w:cs="Arial"/>
          <w:b/>
        </w:rPr>
        <w:lastRenderedPageBreak/>
        <w:t xml:space="preserve">3.4 Undeliverable </w:t>
      </w:r>
      <w:r>
        <w:rPr>
          <w:rFonts w:cs="Arial"/>
          <w:b/>
        </w:rPr>
        <w:t>s</w:t>
      </w:r>
      <w:r w:rsidRPr="003A40B3">
        <w:rPr>
          <w:rFonts w:cs="Arial"/>
          <w:b/>
        </w:rPr>
        <w:t>avings</w:t>
      </w:r>
    </w:p>
    <w:p w14:paraId="358EF1F4" w14:textId="77777777" w:rsidR="00AB4589" w:rsidRPr="00813473" w:rsidRDefault="00AB4589" w:rsidP="00AB4589">
      <w:pPr>
        <w:tabs>
          <w:tab w:val="left" w:pos="567"/>
          <w:tab w:val="left" w:pos="1134"/>
        </w:tabs>
        <w:spacing w:after="0"/>
        <w:rPr>
          <w:rFonts w:cs="Arial"/>
          <w:b/>
          <w:highlight w:val="yellow"/>
        </w:rPr>
      </w:pPr>
    </w:p>
    <w:p w14:paraId="47E4E0ED" w14:textId="77777777" w:rsidR="00AB4589" w:rsidRPr="004F7796" w:rsidRDefault="00AB4589" w:rsidP="00AB4589">
      <w:pPr>
        <w:tabs>
          <w:tab w:val="left" w:pos="567"/>
          <w:tab w:val="left" w:pos="1134"/>
        </w:tabs>
        <w:spacing w:after="0"/>
      </w:pPr>
      <w:r w:rsidRPr="00870DE0">
        <w:t>There is a rigorous monitoring process of agreed savings in place and several savings have been classified as undeliverable due to changing circumstances and consultation feedback. Services are expected to find compensatory savings but in some cases it has not been possible to do this. The following savings are built back into the budget at quarter</w:t>
      </w:r>
      <w:r w:rsidRPr="004F7796">
        <w:t xml:space="preserve"> </w:t>
      </w:r>
      <w:r w:rsidRPr="000032A2">
        <w:rPr>
          <w:rFonts w:cs="Arial"/>
        </w:rPr>
        <w:t>2</w:t>
      </w:r>
      <w:r w:rsidRPr="004F7796">
        <w:t>:</w:t>
      </w:r>
    </w:p>
    <w:p w14:paraId="3295C249" w14:textId="77777777" w:rsidR="00AB4589" w:rsidRPr="00813473" w:rsidRDefault="00AB4589" w:rsidP="00AB4589">
      <w:pPr>
        <w:tabs>
          <w:tab w:val="left" w:pos="567"/>
          <w:tab w:val="left" w:pos="1134"/>
        </w:tabs>
        <w:spacing w:after="0"/>
        <w:rPr>
          <w:rFonts w:cs="Arial"/>
          <w:highlight w:val="yellow"/>
        </w:rPr>
      </w:pPr>
    </w:p>
    <w:tbl>
      <w:tblPr>
        <w:tblW w:w="4860" w:type="dxa"/>
        <w:tblInd w:w="-5" w:type="dxa"/>
        <w:tblLook w:val="04A0" w:firstRow="1" w:lastRow="0" w:firstColumn="1" w:lastColumn="0" w:noHBand="0" w:noVBand="1"/>
      </w:tblPr>
      <w:tblGrid>
        <w:gridCol w:w="3900"/>
        <w:gridCol w:w="1052"/>
      </w:tblGrid>
      <w:tr w:rsidR="00C30050" w:rsidRPr="00C30050" w14:paraId="137C730F" w14:textId="77777777" w:rsidTr="00C30050">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E12C" w14:textId="77777777" w:rsidR="00C30050" w:rsidRPr="00C30050" w:rsidRDefault="00C30050" w:rsidP="00C30050">
            <w:pPr>
              <w:autoSpaceDE/>
              <w:autoSpaceDN/>
              <w:adjustRightInd/>
              <w:spacing w:after="0"/>
              <w:jc w:val="left"/>
              <w:rPr>
                <w:rFonts w:ascii="Calibri" w:eastAsia="Times New Roman" w:hAnsi="Calibri" w:cs="Calibri"/>
                <w:sz w:val="22"/>
                <w:szCs w:val="22"/>
                <w:lang w:eastAsia="en-GB"/>
              </w:rPr>
            </w:pPr>
            <w:r w:rsidRPr="00C30050">
              <w:rPr>
                <w:rFonts w:ascii="Calibri" w:eastAsia="Courier New" w:hAnsi="Calibri" w:cs="Calibri"/>
                <w:sz w:val="22"/>
                <w:szCs w:val="22"/>
                <w:lang w:eastAsia="en-GB"/>
              </w:rPr>
              <w:t>Acute Passport to Independence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CB39FD" w14:textId="77777777" w:rsidR="00C30050" w:rsidRPr="00C30050" w:rsidRDefault="00C30050" w:rsidP="00C30050">
            <w:pPr>
              <w:autoSpaceDE/>
              <w:autoSpaceDN/>
              <w:adjustRightInd/>
              <w:spacing w:after="0"/>
              <w:jc w:val="center"/>
              <w:rPr>
                <w:rFonts w:ascii="Calibri" w:eastAsia="Times New Roman" w:hAnsi="Calibri" w:cs="Calibri"/>
                <w:sz w:val="22"/>
                <w:szCs w:val="22"/>
                <w:lang w:eastAsia="en-GB"/>
              </w:rPr>
            </w:pPr>
            <w:r w:rsidRPr="00C30050">
              <w:rPr>
                <w:rFonts w:ascii="Calibri" w:eastAsia="Times New Roman" w:hAnsi="Calibri" w:cs="Calibri"/>
                <w:sz w:val="22"/>
                <w:szCs w:val="22"/>
                <w:lang w:eastAsia="en-GB"/>
              </w:rPr>
              <w:t>£5.700m</w:t>
            </w:r>
          </w:p>
        </w:tc>
      </w:tr>
      <w:tr w:rsidR="00C30050" w:rsidRPr="00C30050" w14:paraId="0189C7F2" w14:textId="77777777" w:rsidTr="00C30050">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856B941" w14:textId="77777777" w:rsidR="00C30050" w:rsidRPr="00C30050" w:rsidRDefault="00C30050" w:rsidP="00C30050">
            <w:pPr>
              <w:autoSpaceDE/>
              <w:autoSpaceDN/>
              <w:adjustRightInd/>
              <w:spacing w:after="0"/>
              <w:jc w:val="left"/>
              <w:rPr>
                <w:rFonts w:ascii="Calibri" w:eastAsia="Times New Roman" w:hAnsi="Calibri" w:cs="Calibri"/>
                <w:sz w:val="22"/>
                <w:szCs w:val="22"/>
                <w:lang w:eastAsia="en-GB"/>
              </w:rPr>
            </w:pPr>
            <w:r w:rsidRPr="00C30050">
              <w:rPr>
                <w:rFonts w:ascii="Calibri" w:eastAsia="Courier New" w:hAnsi="Calibri" w:cs="Calibri"/>
                <w:sz w:val="22"/>
                <w:szCs w:val="22"/>
                <w:lang w:eastAsia="en-GB"/>
              </w:rPr>
              <w:t>Learning Excellence (Additional Income)</w:t>
            </w:r>
          </w:p>
        </w:tc>
        <w:tc>
          <w:tcPr>
            <w:tcW w:w="960" w:type="dxa"/>
            <w:tcBorders>
              <w:top w:val="nil"/>
              <w:left w:val="nil"/>
              <w:bottom w:val="single" w:sz="4" w:space="0" w:color="auto"/>
              <w:right w:val="single" w:sz="4" w:space="0" w:color="auto"/>
            </w:tcBorders>
            <w:shd w:val="clear" w:color="auto" w:fill="auto"/>
            <w:noWrap/>
            <w:vAlign w:val="bottom"/>
            <w:hideMark/>
          </w:tcPr>
          <w:p w14:paraId="220DABF0" w14:textId="77777777" w:rsidR="00C30050" w:rsidRPr="00C30050" w:rsidRDefault="00C30050" w:rsidP="00C30050">
            <w:pPr>
              <w:autoSpaceDE/>
              <w:autoSpaceDN/>
              <w:adjustRightInd/>
              <w:spacing w:after="0"/>
              <w:jc w:val="center"/>
              <w:rPr>
                <w:rFonts w:ascii="Calibri" w:eastAsia="Times New Roman" w:hAnsi="Calibri" w:cs="Calibri"/>
                <w:sz w:val="22"/>
                <w:szCs w:val="22"/>
                <w:lang w:eastAsia="en-GB"/>
              </w:rPr>
            </w:pPr>
            <w:r w:rsidRPr="00C30050">
              <w:rPr>
                <w:rFonts w:ascii="Calibri" w:eastAsia="Times New Roman" w:hAnsi="Calibri" w:cs="Calibri"/>
                <w:sz w:val="22"/>
                <w:szCs w:val="22"/>
                <w:lang w:eastAsia="en-GB"/>
              </w:rPr>
              <w:t>£789,000</w:t>
            </w:r>
          </w:p>
        </w:tc>
      </w:tr>
      <w:tr w:rsidR="00C30050" w:rsidRPr="00C30050" w14:paraId="66ADD2C2" w14:textId="77777777" w:rsidTr="00C30050">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DC83368" w14:textId="77777777" w:rsidR="00C30050" w:rsidRPr="00C30050" w:rsidRDefault="00C30050" w:rsidP="00C30050">
            <w:pPr>
              <w:autoSpaceDE/>
              <w:autoSpaceDN/>
              <w:adjustRightInd/>
              <w:spacing w:after="0"/>
              <w:jc w:val="left"/>
              <w:rPr>
                <w:rFonts w:ascii="Calibri" w:eastAsia="Times New Roman" w:hAnsi="Calibri" w:cs="Calibri"/>
                <w:sz w:val="22"/>
                <w:szCs w:val="22"/>
                <w:lang w:eastAsia="en-GB"/>
              </w:rPr>
            </w:pPr>
            <w:r w:rsidRPr="00C30050">
              <w:rPr>
                <w:rFonts w:ascii="Calibri" w:eastAsia="Courier New" w:hAnsi="Calibri" w:cs="Calibri"/>
                <w:sz w:val="22"/>
                <w:szCs w:val="22"/>
                <w:lang w:eastAsia="en-GB"/>
              </w:rPr>
              <w:t>Additional labour recharges</w:t>
            </w:r>
          </w:p>
        </w:tc>
        <w:tc>
          <w:tcPr>
            <w:tcW w:w="960" w:type="dxa"/>
            <w:tcBorders>
              <w:top w:val="nil"/>
              <w:left w:val="nil"/>
              <w:bottom w:val="single" w:sz="4" w:space="0" w:color="auto"/>
              <w:right w:val="single" w:sz="4" w:space="0" w:color="auto"/>
            </w:tcBorders>
            <w:shd w:val="clear" w:color="auto" w:fill="auto"/>
            <w:noWrap/>
            <w:vAlign w:val="bottom"/>
            <w:hideMark/>
          </w:tcPr>
          <w:p w14:paraId="2468E1DE" w14:textId="77777777" w:rsidR="00C30050" w:rsidRPr="00C30050" w:rsidRDefault="00C30050" w:rsidP="00C30050">
            <w:pPr>
              <w:autoSpaceDE/>
              <w:autoSpaceDN/>
              <w:adjustRightInd/>
              <w:spacing w:after="0"/>
              <w:jc w:val="center"/>
              <w:rPr>
                <w:rFonts w:ascii="Calibri" w:eastAsia="Times New Roman" w:hAnsi="Calibri" w:cs="Calibri"/>
                <w:sz w:val="22"/>
                <w:szCs w:val="22"/>
                <w:lang w:eastAsia="en-GB"/>
              </w:rPr>
            </w:pPr>
            <w:r w:rsidRPr="00C30050">
              <w:rPr>
                <w:rFonts w:ascii="Calibri" w:eastAsia="Times New Roman" w:hAnsi="Calibri" w:cs="Calibri"/>
                <w:sz w:val="22"/>
                <w:szCs w:val="22"/>
                <w:lang w:eastAsia="en-GB"/>
              </w:rPr>
              <w:t>£40,000</w:t>
            </w:r>
          </w:p>
        </w:tc>
      </w:tr>
      <w:tr w:rsidR="00C30050" w:rsidRPr="00C30050" w14:paraId="2ED73D7C" w14:textId="77777777" w:rsidTr="00C30050">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57B3B26" w14:textId="77777777" w:rsidR="00C30050" w:rsidRPr="00C30050" w:rsidRDefault="00C30050" w:rsidP="00C30050">
            <w:pPr>
              <w:autoSpaceDE/>
              <w:autoSpaceDN/>
              <w:adjustRightInd/>
              <w:spacing w:after="0"/>
              <w:jc w:val="left"/>
              <w:rPr>
                <w:rFonts w:ascii="Calibri" w:eastAsia="Times New Roman" w:hAnsi="Calibri" w:cs="Calibri"/>
                <w:sz w:val="22"/>
                <w:szCs w:val="22"/>
                <w:lang w:eastAsia="en-GB"/>
              </w:rPr>
            </w:pPr>
            <w:r w:rsidRPr="00C30050">
              <w:rPr>
                <w:rFonts w:ascii="Calibri" w:eastAsia="Courier New" w:hAnsi="Calibri" w:cs="Calibri"/>
                <w:sz w:val="22"/>
                <w:szCs w:val="22"/>
                <w:lang w:eastAsia="en-GB"/>
              </w:rPr>
              <w:t>Reduce repairs &amp; maintenance budget</w:t>
            </w:r>
          </w:p>
        </w:tc>
        <w:tc>
          <w:tcPr>
            <w:tcW w:w="960" w:type="dxa"/>
            <w:tcBorders>
              <w:top w:val="nil"/>
              <w:left w:val="nil"/>
              <w:bottom w:val="single" w:sz="4" w:space="0" w:color="auto"/>
              <w:right w:val="single" w:sz="4" w:space="0" w:color="auto"/>
            </w:tcBorders>
            <w:shd w:val="clear" w:color="auto" w:fill="auto"/>
            <w:noWrap/>
            <w:vAlign w:val="bottom"/>
            <w:hideMark/>
          </w:tcPr>
          <w:p w14:paraId="5398FAB8" w14:textId="77777777" w:rsidR="00C30050" w:rsidRPr="00C30050" w:rsidRDefault="00C30050" w:rsidP="00C30050">
            <w:pPr>
              <w:autoSpaceDE/>
              <w:autoSpaceDN/>
              <w:adjustRightInd/>
              <w:spacing w:after="0"/>
              <w:jc w:val="center"/>
              <w:rPr>
                <w:rFonts w:ascii="Calibri" w:eastAsia="Times New Roman" w:hAnsi="Calibri" w:cs="Calibri"/>
                <w:sz w:val="22"/>
                <w:szCs w:val="22"/>
                <w:lang w:eastAsia="en-GB"/>
              </w:rPr>
            </w:pPr>
            <w:r w:rsidRPr="00C30050">
              <w:rPr>
                <w:rFonts w:ascii="Calibri" w:eastAsia="Times New Roman" w:hAnsi="Calibri" w:cs="Calibri"/>
                <w:sz w:val="22"/>
                <w:szCs w:val="22"/>
                <w:lang w:eastAsia="en-GB"/>
              </w:rPr>
              <w:t>£1.750m</w:t>
            </w:r>
          </w:p>
        </w:tc>
      </w:tr>
      <w:tr w:rsidR="00C30050" w:rsidRPr="00C30050" w14:paraId="12D229C7" w14:textId="77777777" w:rsidTr="00C30050">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25E9352" w14:textId="77777777" w:rsidR="00C30050" w:rsidRPr="00C30050" w:rsidRDefault="00C30050" w:rsidP="00C30050">
            <w:pPr>
              <w:autoSpaceDE/>
              <w:autoSpaceDN/>
              <w:adjustRightInd/>
              <w:spacing w:after="0"/>
              <w:jc w:val="left"/>
              <w:rPr>
                <w:rFonts w:ascii="Calibri" w:eastAsia="Times New Roman" w:hAnsi="Calibri" w:cs="Calibri"/>
                <w:sz w:val="22"/>
                <w:szCs w:val="22"/>
                <w:lang w:eastAsia="en-GB"/>
              </w:rPr>
            </w:pPr>
            <w:r w:rsidRPr="00C30050">
              <w:rPr>
                <w:rFonts w:ascii="Calibri" w:eastAsia="Courier New" w:hAnsi="Calibri" w:cs="Calibri"/>
                <w:sz w:val="22"/>
                <w:szCs w:val="22"/>
                <w:lang w:eastAsia="en-GB"/>
              </w:rPr>
              <w:t>Apprenticeship levy</w:t>
            </w:r>
          </w:p>
        </w:tc>
        <w:tc>
          <w:tcPr>
            <w:tcW w:w="960" w:type="dxa"/>
            <w:tcBorders>
              <w:top w:val="nil"/>
              <w:left w:val="nil"/>
              <w:bottom w:val="single" w:sz="4" w:space="0" w:color="auto"/>
              <w:right w:val="single" w:sz="4" w:space="0" w:color="auto"/>
            </w:tcBorders>
            <w:shd w:val="clear" w:color="auto" w:fill="auto"/>
            <w:noWrap/>
            <w:vAlign w:val="bottom"/>
            <w:hideMark/>
          </w:tcPr>
          <w:p w14:paraId="51465906" w14:textId="77777777" w:rsidR="00C30050" w:rsidRPr="00C30050" w:rsidRDefault="00C30050" w:rsidP="00C30050">
            <w:pPr>
              <w:autoSpaceDE/>
              <w:autoSpaceDN/>
              <w:adjustRightInd/>
              <w:spacing w:after="0"/>
              <w:jc w:val="center"/>
              <w:rPr>
                <w:rFonts w:ascii="Calibri" w:eastAsia="Times New Roman" w:hAnsi="Calibri" w:cs="Calibri"/>
                <w:sz w:val="22"/>
                <w:szCs w:val="22"/>
                <w:lang w:eastAsia="en-GB"/>
              </w:rPr>
            </w:pPr>
            <w:r w:rsidRPr="00C30050">
              <w:rPr>
                <w:rFonts w:ascii="Calibri" w:eastAsia="Times New Roman" w:hAnsi="Calibri" w:cs="Calibri"/>
                <w:sz w:val="22"/>
                <w:szCs w:val="22"/>
                <w:lang w:eastAsia="en-GB"/>
              </w:rPr>
              <w:t>£440,000</w:t>
            </w:r>
          </w:p>
        </w:tc>
      </w:tr>
      <w:tr w:rsidR="00C30050" w:rsidRPr="00C30050" w14:paraId="756554DC" w14:textId="77777777" w:rsidTr="00C30050">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3996EAB" w14:textId="77777777" w:rsidR="00C30050" w:rsidRPr="00C30050" w:rsidRDefault="00C30050" w:rsidP="00C30050">
            <w:pPr>
              <w:autoSpaceDE/>
              <w:autoSpaceDN/>
              <w:adjustRightInd/>
              <w:spacing w:after="0"/>
              <w:jc w:val="left"/>
              <w:rPr>
                <w:rFonts w:ascii="Calibri" w:eastAsia="Times New Roman" w:hAnsi="Calibri" w:cs="Calibri"/>
                <w:sz w:val="22"/>
                <w:szCs w:val="22"/>
                <w:lang w:eastAsia="en-GB"/>
              </w:rPr>
            </w:pPr>
            <w:r w:rsidRPr="00C30050">
              <w:rPr>
                <w:rFonts w:ascii="Calibri" w:eastAsia="Courier New" w:hAnsi="Calibri" w:cs="Calibri"/>
                <w:sz w:val="22"/>
                <w:szCs w:val="22"/>
                <w:lang w:eastAsia="en-GB"/>
              </w:rPr>
              <w:t>Recharge additional staff time to capital</w:t>
            </w:r>
          </w:p>
        </w:tc>
        <w:tc>
          <w:tcPr>
            <w:tcW w:w="960" w:type="dxa"/>
            <w:tcBorders>
              <w:top w:val="nil"/>
              <w:left w:val="nil"/>
              <w:bottom w:val="single" w:sz="4" w:space="0" w:color="auto"/>
              <w:right w:val="single" w:sz="4" w:space="0" w:color="auto"/>
            </w:tcBorders>
            <w:shd w:val="clear" w:color="auto" w:fill="auto"/>
            <w:noWrap/>
            <w:vAlign w:val="bottom"/>
            <w:hideMark/>
          </w:tcPr>
          <w:p w14:paraId="50375283" w14:textId="77777777" w:rsidR="00C30050" w:rsidRPr="00C30050" w:rsidRDefault="00C30050" w:rsidP="00C30050">
            <w:pPr>
              <w:autoSpaceDE/>
              <w:autoSpaceDN/>
              <w:adjustRightInd/>
              <w:spacing w:after="0"/>
              <w:jc w:val="center"/>
              <w:rPr>
                <w:rFonts w:ascii="Calibri" w:eastAsia="Times New Roman" w:hAnsi="Calibri" w:cs="Calibri"/>
                <w:sz w:val="22"/>
                <w:szCs w:val="22"/>
                <w:lang w:eastAsia="en-GB"/>
              </w:rPr>
            </w:pPr>
            <w:r w:rsidRPr="00C30050">
              <w:rPr>
                <w:rFonts w:ascii="Calibri" w:eastAsia="Times New Roman" w:hAnsi="Calibri" w:cs="Calibri"/>
                <w:sz w:val="22"/>
                <w:szCs w:val="22"/>
                <w:lang w:eastAsia="en-GB"/>
              </w:rPr>
              <w:t>£209,000</w:t>
            </w:r>
          </w:p>
        </w:tc>
      </w:tr>
    </w:tbl>
    <w:p w14:paraId="25FBA00A" w14:textId="77777777" w:rsidR="00AB4589" w:rsidRDefault="00AB4589" w:rsidP="00AB4589">
      <w:pPr>
        <w:tabs>
          <w:tab w:val="left" w:pos="567"/>
          <w:tab w:val="left" w:pos="1134"/>
        </w:tabs>
        <w:spacing w:after="0"/>
        <w:rPr>
          <w:rFonts w:cs="Arial"/>
        </w:rPr>
      </w:pPr>
    </w:p>
    <w:p w14:paraId="41377760" w14:textId="4D277C5A" w:rsidR="00AB4589" w:rsidRPr="002D4249" w:rsidRDefault="00AB4589" w:rsidP="00AB4589">
      <w:pPr>
        <w:tabs>
          <w:tab w:val="left" w:pos="567"/>
          <w:tab w:val="left" w:pos="1134"/>
        </w:tabs>
        <w:spacing w:after="0"/>
        <w:rPr>
          <w:rFonts w:cs="Arial"/>
        </w:rPr>
      </w:pPr>
      <w:r>
        <w:rPr>
          <w:rFonts w:cs="Arial"/>
        </w:rPr>
        <w:t>These savings total £8.928m which</w:t>
      </w:r>
      <w:r w:rsidR="00DD07ED">
        <w:rPr>
          <w:rFonts w:cs="Arial"/>
        </w:rPr>
        <w:t xml:space="preserve"> </w:t>
      </w:r>
      <w:r>
        <w:rPr>
          <w:rFonts w:cs="Arial"/>
        </w:rPr>
        <w:t>represents a small proportion of overall savings. After the removal of these savings 94.2% of agreed savings are still being forecast for delivery by 2022/23.</w:t>
      </w:r>
    </w:p>
    <w:p w14:paraId="6DA4ACF0" w14:textId="77777777" w:rsidR="00AB4589" w:rsidRPr="00813473" w:rsidRDefault="00AB4589" w:rsidP="00AB4589">
      <w:pPr>
        <w:tabs>
          <w:tab w:val="left" w:pos="567"/>
          <w:tab w:val="left" w:pos="1134"/>
        </w:tabs>
        <w:spacing w:after="0"/>
        <w:rPr>
          <w:rFonts w:cs="Arial"/>
          <w:highlight w:val="yellow"/>
        </w:rPr>
      </w:pPr>
    </w:p>
    <w:p w14:paraId="618B5D49" w14:textId="77777777" w:rsidR="00AB4589" w:rsidRPr="003A40B3" w:rsidRDefault="00AB4589" w:rsidP="00AB4589">
      <w:pPr>
        <w:tabs>
          <w:tab w:val="left" w:pos="567"/>
          <w:tab w:val="left" w:pos="1134"/>
        </w:tabs>
        <w:spacing w:after="0"/>
        <w:rPr>
          <w:rFonts w:cs="Arial"/>
          <w:b/>
        </w:rPr>
      </w:pPr>
      <w:r w:rsidRPr="003A40B3">
        <w:rPr>
          <w:rFonts w:cs="Arial"/>
          <w:b/>
        </w:rPr>
        <w:t xml:space="preserve">3.5 Additional </w:t>
      </w:r>
      <w:r>
        <w:rPr>
          <w:rFonts w:cs="Arial"/>
          <w:b/>
        </w:rPr>
        <w:t>s</w:t>
      </w:r>
      <w:r w:rsidRPr="003A40B3">
        <w:rPr>
          <w:rFonts w:cs="Arial"/>
          <w:b/>
        </w:rPr>
        <w:t xml:space="preserve">avings </w:t>
      </w:r>
    </w:p>
    <w:p w14:paraId="3A869B27" w14:textId="77777777" w:rsidR="00AB4589" w:rsidRPr="00813473" w:rsidRDefault="00AB4589" w:rsidP="00AB4589">
      <w:pPr>
        <w:tabs>
          <w:tab w:val="left" w:pos="567"/>
          <w:tab w:val="left" w:pos="1134"/>
        </w:tabs>
        <w:spacing w:after="0"/>
        <w:rPr>
          <w:rFonts w:cs="Arial"/>
          <w:b/>
          <w:highlight w:val="yellow"/>
        </w:rPr>
      </w:pPr>
    </w:p>
    <w:p w14:paraId="58FAF4A5" w14:textId="7C3F4F74" w:rsidR="00AB4589" w:rsidRPr="00157148" w:rsidRDefault="00AB4589" w:rsidP="00AB4589">
      <w:pPr>
        <w:tabs>
          <w:tab w:val="left" w:pos="567"/>
          <w:tab w:val="left" w:pos="1134"/>
        </w:tabs>
        <w:spacing w:after="0"/>
        <w:rPr>
          <w:rFonts w:cs="Arial"/>
        </w:rPr>
      </w:pPr>
      <w:r w:rsidRPr="00157148">
        <w:rPr>
          <w:rFonts w:cs="Arial"/>
        </w:rPr>
        <w:t>The initial service challenge process necessarily focused on individual service reviews supported by benchmarking data which identified a number of areas where the council was high cost compared to a number of other county councils.   The aim was to deliver the same or better outcomes at reduced cost wherever possible and phase 1 of the service challenge process identified £</w:t>
      </w:r>
      <w:r>
        <w:rPr>
          <w:rFonts w:cs="Arial"/>
        </w:rPr>
        <w:t>68.710</w:t>
      </w:r>
      <w:r w:rsidRPr="00157148">
        <w:rPr>
          <w:rFonts w:cs="Arial"/>
        </w:rPr>
        <w:t xml:space="preserve">m of savings proposals which were included both within the 2019/20 budget and the MTFS position.  Financial benchmarking data of the cost of service position of the council relative to other county councils, reflects that some services are delivered at a relatively higher cost overall than the mean or median county council.  This is largely driven by operational practice. </w:t>
      </w:r>
    </w:p>
    <w:p w14:paraId="2E8830BD" w14:textId="77777777" w:rsidR="00AB4589" w:rsidRPr="00813473" w:rsidRDefault="00AB4589" w:rsidP="00AB4589">
      <w:pPr>
        <w:tabs>
          <w:tab w:val="left" w:pos="567"/>
          <w:tab w:val="left" w:pos="1134"/>
        </w:tabs>
        <w:spacing w:after="0"/>
        <w:rPr>
          <w:rFonts w:cs="Arial"/>
          <w:highlight w:val="yellow"/>
        </w:rPr>
      </w:pPr>
    </w:p>
    <w:p w14:paraId="39C2917C" w14:textId="77777777" w:rsidR="00AB4589" w:rsidRDefault="00AB4589" w:rsidP="00AB4589">
      <w:pPr>
        <w:tabs>
          <w:tab w:val="left" w:pos="567"/>
          <w:tab w:val="left" w:pos="1134"/>
        </w:tabs>
        <w:spacing w:after="0"/>
        <w:rPr>
          <w:rFonts w:cs="Arial"/>
        </w:rPr>
      </w:pPr>
      <w:r w:rsidRPr="00870DE0">
        <w:rPr>
          <w:rFonts w:cs="Arial"/>
        </w:rPr>
        <w:t xml:space="preserve">Phase 1 also identified a number of cross-cutting work streams and areas for investigation and review which is being taken forward as part of the service challenge phase 2 process.  These work streams are more complex, requiring a fundamental challenge of, in many cases, longstanding organisational wide approaches, systems and processes to enable both service improvements and cost savings to be identified. Work is progressing on phase 2 with demand management, commissioning, organisational development, property management, commercialisation, schools traded services, transport and digital being key areas of focus. </w:t>
      </w:r>
      <w:r>
        <w:rPr>
          <w:rFonts w:cs="Arial"/>
        </w:rPr>
        <w:t>Projects on these areas and the savings options will be shared with cabinet as and when available and when timescales for their delivery are agreed.</w:t>
      </w:r>
      <w:r w:rsidRPr="00ED56A0">
        <w:rPr>
          <w:rFonts w:cs="Arial"/>
        </w:rPr>
        <w:t xml:space="preserve"> </w:t>
      </w:r>
      <w:r>
        <w:rPr>
          <w:rFonts w:cs="Arial"/>
        </w:rPr>
        <w:t>Relevant projects will be a focus for relevant finance monitoring boards as appropriate.</w:t>
      </w:r>
    </w:p>
    <w:p w14:paraId="78541F2E" w14:textId="77777777" w:rsidR="00AB4589" w:rsidRDefault="00AB4589" w:rsidP="00AB4589">
      <w:pPr>
        <w:tabs>
          <w:tab w:val="left" w:pos="567"/>
          <w:tab w:val="left" w:pos="1134"/>
        </w:tabs>
        <w:spacing w:after="0"/>
        <w:rPr>
          <w:rFonts w:cs="Arial"/>
        </w:rPr>
      </w:pPr>
    </w:p>
    <w:p w14:paraId="4E3D1F72" w14:textId="77777777" w:rsidR="00AB4589" w:rsidRDefault="00AB4589" w:rsidP="00AB4589">
      <w:pPr>
        <w:tabs>
          <w:tab w:val="left" w:pos="567"/>
          <w:tab w:val="left" w:pos="1134"/>
        </w:tabs>
        <w:spacing w:after="0"/>
        <w:rPr>
          <w:rFonts w:cs="Arial"/>
        </w:rPr>
      </w:pPr>
    </w:p>
    <w:p w14:paraId="19EC3C72" w14:textId="77777777" w:rsidR="00AB4589" w:rsidRDefault="00AB4589" w:rsidP="00AB4589">
      <w:pPr>
        <w:tabs>
          <w:tab w:val="left" w:pos="567"/>
          <w:tab w:val="left" w:pos="1134"/>
        </w:tabs>
        <w:spacing w:after="0"/>
        <w:rPr>
          <w:rFonts w:cs="Arial"/>
        </w:rPr>
      </w:pPr>
    </w:p>
    <w:p w14:paraId="16D7A7B3" w14:textId="77777777" w:rsidR="00AB4589" w:rsidRDefault="00AB4589" w:rsidP="00AB4589">
      <w:pPr>
        <w:tabs>
          <w:tab w:val="left" w:pos="567"/>
          <w:tab w:val="left" w:pos="1134"/>
        </w:tabs>
        <w:spacing w:after="0"/>
        <w:rPr>
          <w:rFonts w:cs="Arial"/>
        </w:rPr>
      </w:pPr>
    </w:p>
    <w:p w14:paraId="6A494009" w14:textId="77777777" w:rsidR="00AB4589" w:rsidRDefault="00AB4589" w:rsidP="00AB4589">
      <w:pPr>
        <w:tabs>
          <w:tab w:val="left" w:pos="567"/>
          <w:tab w:val="left" w:pos="1134"/>
        </w:tabs>
        <w:spacing w:after="0"/>
        <w:rPr>
          <w:rFonts w:cs="Arial"/>
        </w:rPr>
      </w:pPr>
    </w:p>
    <w:p w14:paraId="172A9A73" w14:textId="299CA4B2" w:rsidR="00AB4589" w:rsidRDefault="00AB4589" w:rsidP="00AB4589">
      <w:pPr>
        <w:tabs>
          <w:tab w:val="left" w:pos="567"/>
          <w:tab w:val="left" w:pos="1134"/>
        </w:tabs>
        <w:spacing w:after="0"/>
        <w:rPr>
          <w:rFonts w:cs="Arial"/>
        </w:rPr>
      </w:pPr>
    </w:p>
    <w:p w14:paraId="79671867" w14:textId="77777777" w:rsidR="00C94B79" w:rsidRPr="00ED56A0" w:rsidRDefault="00C94B79" w:rsidP="00AB4589">
      <w:pPr>
        <w:tabs>
          <w:tab w:val="left" w:pos="567"/>
          <w:tab w:val="left" w:pos="1134"/>
        </w:tabs>
        <w:spacing w:after="0"/>
        <w:rPr>
          <w:rFonts w:cs="Arial"/>
        </w:rPr>
      </w:pPr>
    </w:p>
    <w:p w14:paraId="5873E6F2" w14:textId="77777777" w:rsidR="00AB4589" w:rsidRPr="00ED56A0" w:rsidRDefault="00AB4589" w:rsidP="00AB4589">
      <w:pPr>
        <w:tabs>
          <w:tab w:val="left" w:pos="567"/>
          <w:tab w:val="left" w:pos="1134"/>
        </w:tabs>
        <w:spacing w:after="0"/>
        <w:rPr>
          <w:rFonts w:cs="Arial"/>
          <w:b/>
          <w:highlight w:val="yellow"/>
        </w:rPr>
      </w:pPr>
    </w:p>
    <w:p w14:paraId="716FC274" w14:textId="77777777" w:rsidR="00AB4589" w:rsidRPr="003A40B3" w:rsidRDefault="00AB4589" w:rsidP="00AB4589">
      <w:pPr>
        <w:tabs>
          <w:tab w:val="left" w:pos="567"/>
          <w:tab w:val="left" w:pos="1134"/>
        </w:tabs>
        <w:spacing w:after="0"/>
        <w:rPr>
          <w:rFonts w:cs="Arial"/>
          <w:b/>
        </w:rPr>
      </w:pPr>
      <w:r w:rsidRPr="003A40B3">
        <w:rPr>
          <w:rFonts w:cs="Arial"/>
          <w:b/>
        </w:rPr>
        <w:lastRenderedPageBreak/>
        <w:t>4. Reserves</w:t>
      </w:r>
    </w:p>
    <w:p w14:paraId="6783D599" w14:textId="77777777" w:rsidR="00AB4589" w:rsidRPr="003A40B3" w:rsidRDefault="00AB4589" w:rsidP="00AB4589">
      <w:pPr>
        <w:tabs>
          <w:tab w:val="left" w:pos="567"/>
          <w:tab w:val="left" w:pos="1134"/>
        </w:tabs>
        <w:spacing w:after="0"/>
        <w:rPr>
          <w:rFonts w:cs="Arial"/>
          <w:b/>
        </w:rPr>
      </w:pPr>
    </w:p>
    <w:p w14:paraId="47A6395B" w14:textId="77777777" w:rsidR="00AB4589" w:rsidRPr="003A40B3" w:rsidRDefault="00AB4589" w:rsidP="00AB4589">
      <w:pPr>
        <w:tabs>
          <w:tab w:val="left" w:pos="567"/>
          <w:tab w:val="left" w:pos="1134"/>
        </w:tabs>
        <w:spacing w:after="0"/>
        <w:rPr>
          <w:rFonts w:cs="Arial"/>
          <w:b/>
          <w:i/>
          <w:u w:val="single"/>
        </w:rPr>
      </w:pPr>
      <w:r w:rsidRPr="003A40B3">
        <w:rPr>
          <w:rFonts w:cs="Arial"/>
          <w:b/>
          <w:i/>
          <w:u w:val="single"/>
        </w:rPr>
        <w:t>Table 7</w:t>
      </w:r>
    </w:p>
    <w:p w14:paraId="4EF32BAE" w14:textId="77777777" w:rsidR="00AB4589" w:rsidRDefault="00AB4589" w:rsidP="00AB4589">
      <w:pPr>
        <w:tabs>
          <w:tab w:val="left" w:pos="567"/>
          <w:tab w:val="left" w:pos="1134"/>
        </w:tabs>
        <w:spacing w:after="0"/>
        <w:rPr>
          <w:rFonts w:cs="Arial"/>
          <w:b/>
          <w:i/>
          <w:highlight w:val="yellow"/>
          <w:u w:val="single"/>
        </w:rPr>
      </w:pPr>
    </w:p>
    <w:p w14:paraId="61DF80F5" w14:textId="77777777" w:rsidR="00AB4589" w:rsidRDefault="00AB4589" w:rsidP="00AB4589">
      <w:pPr>
        <w:tabs>
          <w:tab w:val="left" w:pos="567"/>
          <w:tab w:val="left" w:pos="1134"/>
        </w:tabs>
        <w:spacing w:after="0"/>
        <w:rPr>
          <w:rFonts w:cs="Arial"/>
          <w:b/>
          <w:i/>
          <w:u w:val="single"/>
        </w:rPr>
      </w:pPr>
      <w:r w:rsidRPr="00B83F33">
        <w:rPr>
          <w:noProof/>
          <w:lang w:eastAsia="en-GB"/>
        </w:rPr>
        <w:drawing>
          <wp:inline distT="0" distB="0" distL="0" distR="0" wp14:anchorId="34243463" wp14:editId="6BFA9467">
            <wp:extent cx="5413248" cy="53642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987185"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434697" cy="5385526"/>
                    </a:xfrm>
                    <a:prstGeom prst="rect">
                      <a:avLst/>
                    </a:prstGeom>
                    <a:noFill/>
                    <a:ln>
                      <a:noFill/>
                    </a:ln>
                  </pic:spPr>
                </pic:pic>
              </a:graphicData>
            </a:graphic>
          </wp:inline>
        </w:drawing>
      </w:r>
    </w:p>
    <w:p w14:paraId="56633389" w14:textId="77777777" w:rsidR="00AB4589" w:rsidRPr="003A40B3" w:rsidRDefault="00AB4589" w:rsidP="00AB4589">
      <w:pPr>
        <w:tabs>
          <w:tab w:val="left" w:pos="567"/>
          <w:tab w:val="left" w:pos="1134"/>
        </w:tabs>
        <w:spacing w:after="0"/>
        <w:rPr>
          <w:rFonts w:cs="Arial"/>
          <w:b/>
          <w:i/>
          <w:u w:val="single"/>
        </w:rPr>
      </w:pPr>
    </w:p>
    <w:p w14:paraId="36BCE443" w14:textId="68A3B0FD" w:rsidR="00AB4589" w:rsidRPr="00813473" w:rsidRDefault="00AB4589" w:rsidP="00AB4589">
      <w:pPr>
        <w:spacing w:after="0"/>
        <w:ind w:right="-24"/>
        <w:rPr>
          <w:rFonts w:cs="Arial"/>
          <w:highlight w:val="yellow"/>
        </w:rPr>
      </w:pPr>
      <w:r w:rsidRPr="00003132">
        <w:rPr>
          <w:rFonts w:cs="Arial"/>
        </w:rPr>
        <w:t xml:space="preserve">The </w:t>
      </w:r>
      <w:r w:rsidR="006D6371">
        <w:rPr>
          <w:rFonts w:cs="Arial"/>
        </w:rPr>
        <w:t>C</w:t>
      </w:r>
      <w:r w:rsidRPr="00003132">
        <w:rPr>
          <w:rFonts w:cs="Arial"/>
        </w:rPr>
        <w:t xml:space="preserve">ounty </w:t>
      </w:r>
      <w:r w:rsidR="006D6371">
        <w:rPr>
          <w:rFonts w:cs="Arial"/>
        </w:rPr>
        <w:t>F</w:t>
      </w:r>
      <w:r w:rsidRPr="00003132">
        <w:rPr>
          <w:rFonts w:cs="Arial"/>
        </w:rPr>
        <w:t>und shown at the top of Table 7 is the balance set aside to cover the authority against a serious emergency situation (e.g. widespread flooding); a critical and unexpected loss of income to the authority and for general cash flow purposes.  In considering these various factors the county council is forecast to maintain its County Fund balance at £23.437m, equating to c</w:t>
      </w:r>
      <w:r>
        <w:rPr>
          <w:rFonts w:cs="Arial"/>
        </w:rPr>
        <w:t xml:space="preserve">irca </w:t>
      </w:r>
      <w:r w:rsidRPr="00003132">
        <w:rPr>
          <w:rFonts w:cs="Arial"/>
        </w:rPr>
        <w:t xml:space="preserve">3% of net budget. </w:t>
      </w:r>
    </w:p>
    <w:p w14:paraId="078DC1D9" w14:textId="77777777" w:rsidR="00AB4589" w:rsidRPr="00813473" w:rsidRDefault="00AB4589" w:rsidP="00AB4589">
      <w:pPr>
        <w:tabs>
          <w:tab w:val="left" w:pos="567"/>
          <w:tab w:val="left" w:pos="1134"/>
        </w:tabs>
        <w:spacing w:after="0"/>
        <w:rPr>
          <w:rFonts w:cs="Arial"/>
          <w:highlight w:val="yellow"/>
        </w:rPr>
      </w:pPr>
    </w:p>
    <w:p w14:paraId="64525DB3" w14:textId="77777777" w:rsidR="00AB4589" w:rsidRPr="00813473" w:rsidRDefault="00AB4589" w:rsidP="00AB4589">
      <w:pPr>
        <w:tabs>
          <w:tab w:val="left" w:pos="567"/>
          <w:tab w:val="left" w:pos="1134"/>
        </w:tabs>
        <w:spacing w:after="0"/>
        <w:rPr>
          <w:rFonts w:cs="Arial"/>
          <w:highlight w:val="yellow"/>
        </w:rPr>
      </w:pPr>
      <w:r w:rsidRPr="00003132">
        <w:rPr>
          <w:rFonts w:cs="Arial"/>
        </w:rPr>
        <w:t>The value of the uncommitted transitional reserve is currently forecast to be £150.358m by the end of March 2020. This represents a marginally improved position of £</w:t>
      </w:r>
      <w:r>
        <w:rPr>
          <w:rFonts w:cs="Arial"/>
        </w:rPr>
        <w:t>108,000</w:t>
      </w:r>
      <w:r w:rsidRPr="00003132">
        <w:rPr>
          <w:rFonts w:cs="Arial"/>
        </w:rPr>
        <w:t xml:space="preserve"> from the £150.250m that was previously reported to full council for quarter 1 in September 2019. </w:t>
      </w:r>
    </w:p>
    <w:p w14:paraId="46E17AE3" w14:textId="77777777" w:rsidR="00AB4589" w:rsidRPr="00813473" w:rsidRDefault="00AB4589" w:rsidP="00AB4589">
      <w:pPr>
        <w:tabs>
          <w:tab w:val="left" w:pos="567"/>
          <w:tab w:val="left" w:pos="1134"/>
        </w:tabs>
        <w:spacing w:after="0"/>
        <w:rPr>
          <w:rFonts w:cs="Arial"/>
          <w:highlight w:val="yellow"/>
        </w:rPr>
      </w:pPr>
    </w:p>
    <w:p w14:paraId="53342EA8" w14:textId="77777777" w:rsidR="00AB4589" w:rsidRDefault="00AB4589" w:rsidP="00AB4589">
      <w:pPr>
        <w:spacing w:after="0"/>
        <w:rPr>
          <w:rFonts w:cs="Arial"/>
        </w:rPr>
      </w:pPr>
      <w:r w:rsidRPr="004F7796">
        <w:rPr>
          <w:rFonts w:cs="Arial"/>
        </w:rPr>
        <w:t xml:space="preserve">The transitional reserve is forecast to be sufficient to meet the identified funding gaps beyond the period of the MTFS as set out in table 8 below. Regardless, the intention remains to identify further savings to reduce the gap, and hence the call on reserves, in the future.  </w:t>
      </w:r>
    </w:p>
    <w:p w14:paraId="479CF685" w14:textId="77777777" w:rsidR="00AB4589" w:rsidRPr="003A40B3" w:rsidRDefault="00AB4589" w:rsidP="00AB4589">
      <w:pPr>
        <w:tabs>
          <w:tab w:val="left" w:pos="567"/>
          <w:tab w:val="left" w:pos="1134"/>
        </w:tabs>
        <w:spacing w:after="0"/>
        <w:rPr>
          <w:rFonts w:cs="Arial"/>
          <w:b/>
          <w:i/>
          <w:u w:val="single"/>
        </w:rPr>
      </w:pPr>
      <w:r w:rsidRPr="003A40B3">
        <w:rPr>
          <w:rFonts w:cs="Arial"/>
          <w:b/>
          <w:i/>
          <w:u w:val="single"/>
        </w:rPr>
        <w:lastRenderedPageBreak/>
        <w:t>Table 8</w:t>
      </w:r>
    </w:p>
    <w:p w14:paraId="6BAA38A9" w14:textId="77777777" w:rsidR="00AB4589" w:rsidRPr="00813473" w:rsidRDefault="00AB4589" w:rsidP="00AB4589">
      <w:pPr>
        <w:tabs>
          <w:tab w:val="left" w:pos="567"/>
          <w:tab w:val="left" w:pos="1134"/>
        </w:tabs>
        <w:spacing w:after="0"/>
        <w:rPr>
          <w:rFonts w:cs="Arial"/>
          <w:b/>
          <w:i/>
          <w:highlight w:val="yellow"/>
          <w:u w:val="single"/>
        </w:rPr>
      </w:pPr>
    </w:p>
    <w:tbl>
      <w:tblPr>
        <w:tblW w:w="7645" w:type="dxa"/>
        <w:tblLayout w:type="fixed"/>
        <w:tblLook w:val="04A0" w:firstRow="1" w:lastRow="0" w:firstColumn="1" w:lastColumn="0" w:noHBand="0" w:noVBand="1"/>
      </w:tblPr>
      <w:tblGrid>
        <w:gridCol w:w="3073"/>
        <w:gridCol w:w="1152"/>
        <w:gridCol w:w="1152"/>
        <w:gridCol w:w="1134"/>
        <w:gridCol w:w="1134"/>
      </w:tblGrid>
      <w:tr w:rsidR="0015230B" w14:paraId="6C2BCFDF" w14:textId="77777777" w:rsidTr="00AB4589">
        <w:trPr>
          <w:trHeight w:val="645"/>
        </w:trPr>
        <w:tc>
          <w:tcPr>
            <w:tcW w:w="3073"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C4C9E42" w14:textId="77777777" w:rsidR="00AB4589" w:rsidRPr="004F7796" w:rsidRDefault="00AB4589" w:rsidP="00AB4589">
            <w:pPr>
              <w:autoSpaceDE/>
              <w:autoSpaceDN/>
              <w:adjustRightInd/>
              <w:spacing w:after="0"/>
              <w:jc w:val="left"/>
              <w:rPr>
                <w:rFonts w:eastAsia="Times New Roman" w:cs="Arial"/>
                <w:b/>
                <w:bCs/>
                <w:lang w:eastAsia="en-GB"/>
              </w:rPr>
            </w:pPr>
            <w:r w:rsidRPr="004F7796">
              <w:rPr>
                <w:rFonts w:eastAsia="Times New Roman" w:cs="Arial"/>
                <w:b/>
                <w:bCs/>
                <w:lang w:eastAsia="en-GB"/>
              </w:rPr>
              <w:t> </w:t>
            </w:r>
          </w:p>
        </w:tc>
        <w:tc>
          <w:tcPr>
            <w:tcW w:w="1152" w:type="dxa"/>
            <w:tcBorders>
              <w:top w:val="single" w:sz="8" w:space="0" w:color="auto"/>
              <w:left w:val="nil"/>
              <w:bottom w:val="single" w:sz="8" w:space="0" w:color="auto"/>
              <w:right w:val="single" w:sz="8" w:space="0" w:color="auto"/>
            </w:tcBorders>
            <w:shd w:val="clear" w:color="000000" w:fill="BFBFBF"/>
            <w:vAlign w:val="center"/>
            <w:hideMark/>
          </w:tcPr>
          <w:p w14:paraId="2260355A" w14:textId="77777777" w:rsidR="00AB4589" w:rsidRPr="004F7796" w:rsidRDefault="00AB4589" w:rsidP="00AB4589">
            <w:pPr>
              <w:autoSpaceDE/>
              <w:autoSpaceDN/>
              <w:adjustRightInd/>
              <w:spacing w:after="0"/>
              <w:jc w:val="center"/>
              <w:rPr>
                <w:rFonts w:eastAsia="Times New Roman" w:cs="Arial"/>
                <w:b/>
                <w:bCs/>
                <w:lang w:eastAsia="en-GB"/>
              </w:rPr>
            </w:pPr>
            <w:r w:rsidRPr="004F7796">
              <w:rPr>
                <w:rFonts w:eastAsia="Times New Roman" w:cs="Arial"/>
                <w:b/>
                <w:bCs/>
                <w:lang w:eastAsia="en-GB"/>
              </w:rPr>
              <w:t>2020/21 £m</w:t>
            </w:r>
          </w:p>
        </w:tc>
        <w:tc>
          <w:tcPr>
            <w:tcW w:w="1152" w:type="dxa"/>
            <w:tcBorders>
              <w:top w:val="single" w:sz="8" w:space="0" w:color="auto"/>
              <w:left w:val="nil"/>
              <w:bottom w:val="single" w:sz="8" w:space="0" w:color="auto"/>
              <w:right w:val="single" w:sz="8" w:space="0" w:color="auto"/>
            </w:tcBorders>
            <w:shd w:val="clear" w:color="000000" w:fill="BFBFBF"/>
            <w:vAlign w:val="center"/>
            <w:hideMark/>
          </w:tcPr>
          <w:p w14:paraId="5FEB7C69" w14:textId="77777777" w:rsidR="00AB4589" w:rsidRPr="004F7796" w:rsidRDefault="00AB4589" w:rsidP="00AB4589">
            <w:pPr>
              <w:autoSpaceDE/>
              <w:autoSpaceDN/>
              <w:adjustRightInd/>
              <w:spacing w:after="0"/>
              <w:jc w:val="center"/>
              <w:rPr>
                <w:rFonts w:eastAsia="Times New Roman" w:cs="Arial"/>
                <w:b/>
                <w:bCs/>
                <w:lang w:eastAsia="en-GB"/>
              </w:rPr>
            </w:pPr>
            <w:r w:rsidRPr="004F7796">
              <w:rPr>
                <w:rFonts w:eastAsia="Times New Roman" w:cs="Arial"/>
                <w:b/>
                <w:bCs/>
                <w:lang w:eastAsia="en-GB"/>
              </w:rPr>
              <w:t>2021/22 £m</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6810A341" w14:textId="77777777" w:rsidR="00AB4589" w:rsidRPr="004F7796" w:rsidRDefault="00AB4589" w:rsidP="00AB4589">
            <w:pPr>
              <w:autoSpaceDE/>
              <w:autoSpaceDN/>
              <w:adjustRightInd/>
              <w:spacing w:after="0"/>
              <w:jc w:val="center"/>
              <w:rPr>
                <w:rFonts w:eastAsia="Times New Roman" w:cs="Arial"/>
                <w:b/>
                <w:bCs/>
                <w:lang w:eastAsia="en-GB"/>
              </w:rPr>
            </w:pPr>
            <w:r w:rsidRPr="004F7796">
              <w:rPr>
                <w:rFonts w:eastAsia="Times New Roman" w:cs="Arial"/>
                <w:b/>
                <w:bCs/>
                <w:lang w:eastAsia="en-GB"/>
              </w:rPr>
              <w:t>2022/23 £m</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6153F005" w14:textId="77777777" w:rsidR="00AB4589" w:rsidRPr="004F7796" w:rsidRDefault="00AB4589" w:rsidP="00AB4589">
            <w:pPr>
              <w:autoSpaceDE/>
              <w:autoSpaceDN/>
              <w:adjustRightInd/>
              <w:spacing w:after="0"/>
              <w:jc w:val="center"/>
              <w:rPr>
                <w:rFonts w:eastAsia="Times New Roman" w:cs="Arial"/>
                <w:b/>
                <w:bCs/>
                <w:lang w:eastAsia="en-GB"/>
              </w:rPr>
            </w:pPr>
            <w:r w:rsidRPr="004F7796">
              <w:rPr>
                <w:rFonts w:eastAsia="Times New Roman" w:cs="Arial"/>
                <w:b/>
                <w:bCs/>
                <w:lang w:eastAsia="en-GB"/>
              </w:rPr>
              <w:t>2023/24 £m</w:t>
            </w:r>
          </w:p>
        </w:tc>
      </w:tr>
      <w:tr w:rsidR="0015230B" w14:paraId="62955DFD" w14:textId="77777777" w:rsidTr="00AB4589">
        <w:trPr>
          <w:trHeight w:val="615"/>
        </w:trPr>
        <w:tc>
          <w:tcPr>
            <w:tcW w:w="3073" w:type="dxa"/>
            <w:tcBorders>
              <w:top w:val="nil"/>
              <w:left w:val="single" w:sz="8" w:space="0" w:color="auto"/>
              <w:bottom w:val="single" w:sz="8" w:space="0" w:color="auto"/>
              <w:right w:val="single" w:sz="8" w:space="0" w:color="auto"/>
            </w:tcBorders>
            <w:shd w:val="clear" w:color="auto" w:fill="auto"/>
            <w:vAlign w:val="center"/>
            <w:hideMark/>
          </w:tcPr>
          <w:p w14:paraId="67D298F8" w14:textId="77777777" w:rsidR="00AB4589" w:rsidRPr="004F7796" w:rsidRDefault="00AB4589" w:rsidP="00AB4589">
            <w:pPr>
              <w:autoSpaceDE/>
              <w:autoSpaceDN/>
              <w:adjustRightInd/>
              <w:spacing w:after="0"/>
              <w:jc w:val="left"/>
              <w:rPr>
                <w:rFonts w:eastAsia="Times New Roman" w:cs="Arial"/>
                <w:b/>
                <w:bCs/>
                <w:lang w:eastAsia="en-GB"/>
              </w:rPr>
            </w:pPr>
            <w:r w:rsidRPr="004F7796">
              <w:rPr>
                <w:rFonts w:eastAsia="Times New Roman" w:cs="Arial"/>
                <w:b/>
                <w:bCs/>
                <w:lang w:eastAsia="en-GB"/>
              </w:rPr>
              <w:t>Opening Balance</w:t>
            </w:r>
          </w:p>
        </w:tc>
        <w:tc>
          <w:tcPr>
            <w:tcW w:w="1152" w:type="dxa"/>
            <w:tcBorders>
              <w:top w:val="nil"/>
              <w:left w:val="nil"/>
              <w:bottom w:val="single" w:sz="8" w:space="0" w:color="auto"/>
              <w:right w:val="single" w:sz="8" w:space="0" w:color="auto"/>
            </w:tcBorders>
            <w:shd w:val="clear" w:color="auto" w:fill="auto"/>
            <w:vAlign w:val="center"/>
            <w:hideMark/>
          </w:tcPr>
          <w:p w14:paraId="15433EC8" w14:textId="77777777" w:rsidR="00AB4589" w:rsidRPr="004F7796" w:rsidRDefault="00AB4589" w:rsidP="00AB4589">
            <w:pPr>
              <w:autoSpaceDE/>
              <w:autoSpaceDN/>
              <w:adjustRightInd/>
              <w:spacing w:after="0"/>
              <w:jc w:val="right"/>
              <w:rPr>
                <w:rFonts w:eastAsia="Times New Roman" w:cs="Arial"/>
                <w:lang w:eastAsia="en-GB"/>
              </w:rPr>
            </w:pPr>
            <w:r w:rsidRPr="004F7796">
              <w:rPr>
                <w:rFonts w:eastAsia="Times New Roman" w:cs="Arial"/>
                <w:lang w:eastAsia="en-GB"/>
              </w:rPr>
              <w:t>150.358</w:t>
            </w:r>
          </w:p>
        </w:tc>
        <w:tc>
          <w:tcPr>
            <w:tcW w:w="1152" w:type="dxa"/>
            <w:tcBorders>
              <w:top w:val="nil"/>
              <w:left w:val="nil"/>
              <w:bottom w:val="single" w:sz="8" w:space="0" w:color="auto"/>
              <w:right w:val="single" w:sz="8" w:space="0" w:color="auto"/>
            </w:tcBorders>
            <w:shd w:val="clear" w:color="auto" w:fill="auto"/>
            <w:vAlign w:val="center"/>
            <w:hideMark/>
          </w:tcPr>
          <w:p w14:paraId="4FCC4C95" w14:textId="77777777" w:rsidR="00AB4589" w:rsidRPr="004F7796" w:rsidRDefault="00AB4589" w:rsidP="00AB4589">
            <w:pPr>
              <w:autoSpaceDE/>
              <w:autoSpaceDN/>
              <w:adjustRightInd/>
              <w:spacing w:after="0"/>
              <w:jc w:val="right"/>
              <w:rPr>
                <w:rFonts w:eastAsia="Times New Roman" w:cs="Arial"/>
                <w:lang w:eastAsia="en-GB"/>
              </w:rPr>
            </w:pPr>
            <w:r w:rsidRPr="004F7796">
              <w:rPr>
                <w:rFonts w:eastAsia="Times New Roman" w:cs="Arial"/>
                <w:lang w:eastAsia="en-GB"/>
              </w:rPr>
              <w:t>147.898</w:t>
            </w:r>
          </w:p>
        </w:tc>
        <w:tc>
          <w:tcPr>
            <w:tcW w:w="1134" w:type="dxa"/>
            <w:tcBorders>
              <w:top w:val="nil"/>
              <w:left w:val="nil"/>
              <w:bottom w:val="single" w:sz="8" w:space="0" w:color="auto"/>
              <w:right w:val="single" w:sz="8" w:space="0" w:color="auto"/>
            </w:tcBorders>
            <w:shd w:val="clear" w:color="auto" w:fill="auto"/>
            <w:vAlign w:val="center"/>
            <w:hideMark/>
          </w:tcPr>
          <w:p w14:paraId="6BA2C65E" w14:textId="77777777" w:rsidR="00AB4589" w:rsidRPr="004F7796" w:rsidRDefault="00AB4589" w:rsidP="00AB4589">
            <w:pPr>
              <w:autoSpaceDE/>
              <w:autoSpaceDN/>
              <w:adjustRightInd/>
              <w:spacing w:after="0"/>
              <w:jc w:val="right"/>
              <w:rPr>
                <w:rFonts w:eastAsia="Times New Roman" w:cs="Arial"/>
                <w:lang w:eastAsia="en-GB"/>
              </w:rPr>
            </w:pPr>
            <w:r w:rsidRPr="004F7796">
              <w:rPr>
                <w:rFonts w:eastAsia="Times New Roman" w:cs="Arial"/>
                <w:lang w:eastAsia="en-GB"/>
              </w:rPr>
              <w:t>152.783</w:t>
            </w:r>
          </w:p>
        </w:tc>
        <w:tc>
          <w:tcPr>
            <w:tcW w:w="1134" w:type="dxa"/>
            <w:tcBorders>
              <w:top w:val="nil"/>
              <w:left w:val="nil"/>
              <w:bottom w:val="single" w:sz="8" w:space="0" w:color="auto"/>
              <w:right w:val="single" w:sz="8" w:space="0" w:color="auto"/>
            </w:tcBorders>
            <w:shd w:val="clear" w:color="auto" w:fill="auto"/>
            <w:vAlign w:val="center"/>
            <w:hideMark/>
          </w:tcPr>
          <w:p w14:paraId="5EA106F9" w14:textId="77777777" w:rsidR="00AB4589" w:rsidRPr="004F7796" w:rsidRDefault="00AB4589" w:rsidP="00AB4589">
            <w:pPr>
              <w:autoSpaceDE/>
              <w:autoSpaceDN/>
              <w:adjustRightInd/>
              <w:spacing w:after="0"/>
              <w:jc w:val="right"/>
              <w:rPr>
                <w:rFonts w:eastAsia="Times New Roman" w:cs="Arial"/>
                <w:lang w:eastAsia="en-GB"/>
              </w:rPr>
            </w:pPr>
            <w:r w:rsidRPr="004F7796">
              <w:rPr>
                <w:rFonts w:eastAsia="Times New Roman" w:cs="Arial"/>
                <w:lang w:eastAsia="en-GB"/>
              </w:rPr>
              <w:t>143.821</w:t>
            </w:r>
          </w:p>
        </w:tc>
      </w:tr>
      <w:tr w:rsidR="0015230B" w14:paraId="1DCB738F" w14:textId="77777777" w:rsidTr="00AB4589">
        <w:trPr>
          <w:trHeight w:val="330"/>
        </w:trPr>
        <w:tc>
          <w:tcPr>
            <w:tcW w:w="3073" w:type="dxa"/>
            <w:tcBorders>
              <w:top w:val="nil"/>
              <w:left w:val="single" w:sz="8" w:space="0" w:color="auto"/>
              <w:bottom w:val="single" w:sz="8" w:space="0" w:color="auto"/>
              <w:right w:val="single" w:sz="8" w:space="0" w:color="auto"/>
            </w:tcBorders>
            <w:shd w:val="clear" w:color="auto" w:fill="auto"/>
            <w:vAlign w:val="center"/>
            <w:hideMark/>
          </w:tcPr>
          <w:p w14:paraId="1743A375" w14:textId="77777777" w:rsidR="00AB4589" w:rsidRPr="004F7796" w:rsidRDefault="00AB4589" w:rsidP="00AB4589">
            <w:pPr>
              <w:autoSpaceDE/>
              <w:autoSpaceDN/>
              <w:adjustRightInd/>
              <w:spacing w:after="0"/>
              <w:jc w:val="left"/>
              <w:rPr>
                <w:rFonts w:eastAsia="Times New Roman" w:cs="Arial"/>
                <w:b/>
                <w:bCs/>
                <w:lang w:eastAsia="en-GB"/>
              </w:rPr>
            </w:pPr>
            <w:r w:rsidRPr="004F7796">
              <w:rPr>
                <w:rFonts w:eastAsia="Times New Roman" w:cs="Arial"/>
                <w:b/>
                <w:bCs/>
                <w:lang w:eastAsia="en-GB"/>
              </w:rPr>
              <w:t>Gap funding</w:t>
            </w:r>
          </w:p>
        </w:tc>
        <w:tc>
          <w:tcPr>
            <w:tcW w:w="1152" w:type="dxa"/>
            <w:tcBorders>
              <w:top w:val="nil"/>
              <w:left w:val="nil"/>
              <w:bottom w:val="single" w:sz="8" w:space="0" w:color="auto"/>
              <w:right w:val="single" w:sz="8" w:space="0" w:color="auto"/>
            </w:tcBorders>
            <w:shd w:val="clear" w:color="auto" w:fill="auto"/>
            <w:vAlign w:val="center"/>
            <w:hideMark/>
          </w:tcPr>
          <w:p w14:paraId="18E26C3D" w14:textId="77777777" w:rsidR="00AB4589" w:rsidRPr="004F7796" w:rsidRDefault="00AB4589" w:rsidP="00AB4589">
            <w:pPr>
              <w:autoSpaceDE/>
              <w:autoSpaceDN/>
              <w:adjustRightInd/>
              <w:spacing w:after="0"/>
              <w:jc w:val="right"/>
              <w:rPr>
                <w:rFonts w:eastAsia="Times New Roman" w:cs="Arial"/>
                <w:lang w:eastAsia="en-GB"/>
              </w:rPr>
            </w:pPr>
            <w:r w:rsidRPr="004F7796">
              <w:rPr>
                <w:rFonts w:eastAsia="Times New Roman" w:cs="Arial"/>
                <w:lang w:eastAsia="en-GB"/>
              </w:rPr>
              <w:t>0.000</w:t>
            </w:r>
          </w:p>
        </w:tc>
        <w:tc>
          <w:tcPr>
            <w:tcW w:w="1152" w:type="dxa"/>
            <w:tcBorders>
              <w:top w:val="nil"/>
              <w:left w:val="nil"/>
              <w:bottom w:val="single" w:sz="8" w:space="0" w:color="auto"/>
              <w:right w:val="single" w:sz="8" w:space="0" w:color="auto"/>
            </w:tcBorders>
            <w:shd w:val="clear" w:color="auto" w:fill="auto"/>
            <w:vAlign w:val="center"/>
            <w:hideMark/>
          </w:tcPr>
          <w:p w14:paraId="415F247F" w14:textId="77777777" w:rsidR="00AB4589" w:rsidRPr="004F7796" w:rsidRDefault="00AB4589" w:rsidP="00AB4589">
            <w:pPr>
              <w:autoSpaceDE/>
              <w:autoSpaceDN/>
              <w:adjustRightInd/>
              <w:spacing w:after="0"/>
              <w:jc w:val="right"/>
              <w:rPr>
                <w:rFonts w:eastAsia="Times New Roman" w:cs="Arial"/>
                <w:lang w:eastAsia="en-GB"/>
              </w:rPr>
            </w:pPr>
            <w:r w:rsidRPr="004F7796">
              <w:rPr>
                <w:rFonts w:eastAsia="Times New Roman" w:cs="Arial"/>
                <w:lang w:eastAsia="en-GB"/>
              </w:rPr>
              <w:t>-5.188</w:t>
            </w:r>
          </w:p>
        </w:tc>
        <w:tc>
          <w:tcPr>
            <w:tcW w:w="1134" w:type="dxa"/>
            <w:tcBorders>
              <w:top w:val="nil"/>
              <w:left w:val="nil"/>
              <w:bottom w:val="single" w:sz="8" w:space="0" w:color="auto"/>
              <w:right w:val="single" w:sz="8" w:space="0" w:color="auto"/>
            </w:tcBorders>
            <w:shd w:val="clear" w:color="auto" w:fill="auto"/>
            <w:vAlign w:val="center"/>
            <w:hideMark/>
          </w:tcPr>
          <w:p w14:paraId="7A07E8C9" w14:textId="77777777" w:rsidR="00AB4589" w:rsidRPr="004F7796" w:rsidRDefault="00AB4589" w:rsidP="00AB4589">
            <w:pPr>
              <w:autoSpaceDE/>
              <w:autoSpaceDN/>
              <w:adjustRightInd/>
              <w:spacing w:after="0"/>
              <w:jc w:val="right"/>
              <w:rPr>
                <w:rFonts w:eastAsia="Times New Roman" w:cs="Arial"/>
                <w:lang w:eastAsia="en-GB"/>
              </w:rPr>
            </w:pPr>
            <w:r w:rsidRPr="004F7796">
              <w:rPr>
                <w:rFonts w:eastAsia="Times New Roman" w:cs="Arial"/>
                <w:lang w:eastAsia="en-GB"/>
              </w:rPr>
              <w:t>8.961</w:t>
            </w:r>
          </w:p>
        </w:tc>
        <w:tc>
          <w:tcPr>
            <w:tcW w:w="1134" w:type="dxa"/>
            <w:tcBorders>
              <w:top w:val="nil"/>
              <w:left w:val="nil"/>
              <w:bottom w:val="single" w:sz="8" w:space="0" w:color="auto"/>
              <w:right w:val="single" w:sz="8" w:space="0" w:color="auto"/>
            </w:tcBorders>
            <w:shd w:val="clear" w:color="auto" w:fill="auto"/>
            <w:vAlign w:val="center"/>
            <w:hideMark/>
          </w:tcPr>
          <w:p w14:paraId="1C7A6042" w14:textId="77777777" w:rsidR="00AB4589" w:rsidRPr="004F7796" w:rsidRDefault="00AB4589" w:rsidP="00AB4589">
            <w:pPr>
              <w:autoSpaceDE/>
              <w:autoSpaceDN/>
              <w:adjustRightInd/>
              <w:spacing w:after="0"/>
              <w:jc w:val="right"/>
              <w:rPr>
                <w:rFonts w:eastAsia="Times New Roman" w:cs="Arial"/>
                <w:lang w:eastAsia="en-GB"/>
              </w:rPr>
            </w:pPr>
            <w:r w:rsidRPr="004F7796">
              <w:rPr>
                <w:rFonts w:eastAsia="Times New Roman" w:cs="Arial"/>
                <w:lang w:eastAsia="en-GB"/>
              </w:rPr>
              <w:t>28.438</w:t>
            </w:r>
          </w:p>
        </w:tc>
      </w:tr>
      <w:tr w:rsidR="0015230B" w14:paraId="64CCEA8B" w14:textId="77777777" w:rsidTr="00AB4589">
        <w:trPr>
          <w:trHeight w:val="330"/>
        </w:trPr>
        <w:tc>
          <w:tcPr>
            <w:tcW w:w="3073" w:type="dxa"/>
            <w:tcBorders>
              <w:top w:val="nil"/>
              <w:left w:val="single" w:sz="8" w:space="0" w:color="auto"/>
              <w:bottom w:val="single" w:sz="8" w:space="0" w:color="auto"/>
              <w:right w:val="single" w:sz="8" w:space="0" w:color="auto"/>
            </w:tcBorders>
            <w:shd w:val="clear" w:color="auto" w:fill="auto"/>
            <w:vAlign w:val="center"/>
            <w:hideMark/>
          </w:tcPr>
          <w:p w14:paraId="211CF58A" w14:textId="77777777" w:rsidR="00AB4589" w:rsidRPr="004F7796" w:rsidRDefault="00AB4589" w:rsidP="00AB4589">
            <w:pPr>
              <w:autoSpaceDE/>
              <w:autoSpaceDN/>
              <w:adjustRightInd/>
              <w:spacing w:after="0"/>
              <w:jc w:val="left"/>
              <w:rPr>
                <w:rFonts w:eastAsia="Times New Roman" w:cs="Arial"/>
                <w:b/>
                <w:bCs/>
                <w:lang w:eastAsia="en-GB"/>
              </w:rPr>
            </w:pPr>
            <w:r w:rsidRPr="004F7796">
              <w:rPr>
                <w:rFonts w:eastAsia="Times New Roman" w:cs="Arial"/>
                <w:b/>
                <w:bCs/>
                <w:lang w:eastAsia="en-GB"/>
              </w:rPr>
              <w:t>Commitments</w:t>
            </w:r>
          </w:p>
        </w:tc>
        <w:tc>
          <w:tcPr>
            <w:tcW w:w="1152" w:type="dxa"/>
            <w:tcBorders>
              <w:top w:val="nil"/>
              <w:left w:val="nil"/>
              <w:bottom w:val="single" w:sz="8" w:space="0" w:color="auto"/>
              <w:right w:val="single" w:sz="8" w:space="0" w:color="auto"/>
            </w:tcBorders>
            <w:shd w:val="clear" w:color="auto" w:fill="auto"/>
            <w:vAlign w:val="center"/>
            <w:hideMark/>
          </w:tcPr>
          <w:p w14:paraId="6F0478A3" w14:textId="77777777" w:rsidR="00AB4589" w:rsidRPr="004F7796" w:rsidRDefault="00AB4589" w:rsidP="00AB4589">
            <w:pPr>
              <w:autoSpaceDE/>
              <w:autoSpaceDN/>
              <w:adjustRightInd/>
              <w:spacing w:after="0"/>
              <w:jc w:val="right"/>
              <w:rPr>
                <w:rFonts w:eastAsia="Times New Roman" w:cs="Arial"/>
                <w:lang w:eastAsia="en-GB"/>
              </w:rPr>
            </w:pPr>
            <w:r w:rsidRPr="004F7796">
              <w:rPr>
                <w:rFonts w:eastAsia="Times New Roman" w:cs="Arial"/>
                <w:lang w:eastAsia="en-GB"/>
              </w:rPr>
              <w:t>2.460</w:t>
            </w:r>
          </w:p>
        </w:tc>
        <w:tc>
          <w:tcPr>
            <w:tcW w:w="1152" w:type="dxa"/>
            <w:tcBorders>
              <w:top w:val="nil"/>
              <w:left w:val="nil"/>
              <w:bottom w:val="single" w:sz="8" w:space="0" w:color="auto"/>
              <w:right w:val="single" w:sz="8" w:space="0" w:color="auto"/>
            </w:tcBorders>
            <w:shd w:val="clear" w:color="auto" w:fill="auto"/>
            <w:vAlign w:val="center"/>
            <w:hideMark/>
          </w:tcPr>
          <w:p w14:paraId="1994E653" w14:textId="77777777" w:rsidR="00AB4589" w:rsidRPr="004F7796" w:rsidRDefault="00AB4589" w:rsidP="00AB4589">
            <w:pPr>
              <w:autoSpaceDE/>
              <w:autoSpaceDN/>
              <w:adjustRightInd/>
              <w:spacing w:after="0"/>
              <w:jc w:val="right"/>
              <w:rPr>
                <w:rFonts w:eastAsia="Times New Roman" w:cs="Arial"/>
                <w:lang w:eastAsia="en-GB"/>
              </w:rPr>
            </w:pPr>
            <w:r w:rsidRPr="004F7796">
              <w:rPr>
                <w:rFonts w:eastAsia="Times New Roman" w:cs="Arial"/>
                <w:lang w:eastAsia="en-GB"/>
              </w:rPr>
              <w:t>0.304</w:t>
            </w:r>
          </w:p>
        </w:tc>
        <w:tc>
          <w:tcPr>
            <w:tcW w:w="1134" w:type="dxa"/>
            <w:tcBorders>
              <w:top w:val="nil"/>
              <w:left w:val="nil"/>
              <w:bottom w:val="single" w:sz="8" w:space="0" w:color="auto"/>
              <w:right w:val="single" w:sz="8" w:space="0" w:color="auto"/>
            </w:tcBorders>
            <w:shd w:val="clear" w:color="auto" w:fill="auto"/>
            <w:vAlign w:val="center"/>
            <w:hideMark/>
          </w:tcPr>
          <w:p w14:paraId="0054C138" w14:textId="77777777" w:rsidR="00AB4589" w:rsidRPr="004F7796" w:rsidRDefault="00AB4589" w:rsidP="00AB4589">
            <w:pPr>
              <w:autoSpaceDE/>
              <w:autoSpaceDN/>
              <w:adjustRightInd/>
              <w:spacing w:after="0"/>
              <w:jc w:val="right"/>
              <w:rPr>
                <w:rFonts w:eastAsia="Times New Roman" w:cs="Arial"/>
                <w:lang w:eastAsia="en-GB"/>
              </w:rPr>
            </w:pPr>
            <w:r w:rsidRPr="004F7796">
              <w:rPr>
                <w:rFonts w:eastAsia="Times New Roman" w:cs="Arial"/>
                <w:lang w:eastAsia="en-GB"/>
              </w:rPr>
              <w:t>0.000</w:t>
            </w:r>
          </w:p>
        </w:tc>
        <w:tc>
          <w:tcPr>
            <w:tcW w:w="1134" w:type="dxa"/>
            <w:tcBorders>
              <w:top w:val="nil"/>
              <w:left w:val="nil"/>
              <w:bottom w:val="single" w:sz="8" w:space="0" w:color="auto"/>
              <w:right w:val="single" w:sz="8" w:space="0" w:color="auto"/>
            </w:tcBorders>
            <w:shd w:val="clear" w:color="auto" w:fill="auto"/>
            <w:vAlign w:val="center"/>
            <w:hideMark/>
          </w:tcPr>
          <w:p w14:paraId="4E852443" w14:textId="77777777" w:rsidR="00AB4589" w:rsidRPr="004F7796" w:rsidRDefault="00AB4589" w:rsidP="00AB4589">
            <w:pPr>
              <w:autoSpaceDE/>
              <w:autoSpaceDN/>
              <w:adjustRightInd/>
              <w:spacing w:after="0"/>
              <w:jc w:val="right"/>
              <w:rPr>
                <w:rFonts w:eastAsia="Times New Roman" w:cs="Arial"/>
                <w:lang w:eastAsia="en-GB"/>
              </w:rPr>
            </w:pPr>
            <w:r w:rsidRPr="004F7796">
              <w:rPr>
                <w:rFonts w:eastAsia="Times New Roman" w:cs="Arial"/>
                <w:lang w:eastAsia="en-GB"/>
              </w:rPr>
              <w:t>0.000</w:t>
            </w:r>
          </w:p>
        </w:tc>
      </w:tr>
      <w:tr w:rsidR="0015230B" w14:paraId="4DE12172" w14:textId="77777777" w:rsidTr="00AB4589">
        <w:trPr>
          <w:trHeight w:val="330"/>
        </w:trPr>
        <w:tc>
          <w:tcPr>
            <w:tcW w:w="3073" w:type="dxa"/>
            <w:tcBorders>
              <w:top w:val="nil"/>
              <w:left w:val="single" w:sz="8" w:space="0" w:color="auto"/>
              <w:bottom w:val="single" w:sz="8" w:space="0" w:color="auto"/>
              <w:right w:val="single" w:sz="8" w:space="0" w:color="auto"/>
            </w:tcBorders>
            <w:shd w:val="clear" w:color="000000" w:fill="BFBFBF"/>
            <w:vAlign w:val="center"/>
            <w:hideMark/>
          </w:tcPr>
          <w:p w14:paraId="244EB44F" w14:textId="77777777" w:rsidR="00AB4589" w:rsidRPr="004F7796" w:rsidRDefault="00AB4589" w:rsidP="00AB4589">
            <w:pPr>
              <w:autoSpaceDE/>
              <w:autoSpaceDN/>
              <w:adjustRightInd/>
              <w:spacing w:after="0"/>
              <w:jc w:val="left"/>
              <w:rPr>
                <w:rFonts w:eastAsia="Times New Roman" w:cs="Arial"/>
                <w:b/>
                <w:bCs/>
                <w:lang w:eastAsia="en-GB"/>
              </w:rPr>
            </w:pPr>
            <w:r w:rsidRPr="004F7796">
              <w:rPr>
                <w:rFonts w:eastAsia="Times New Roman" w:cs="Arial"/>
                <w:b/>
                <w:bCs/>
                <w:lang w:eastAsia="en-GB"/>
              </w:rPr>
              <w:t>Closing balance</w:t>
            </w:r>
          </w:p>
        </w:tc>
        <w:tc>
          <w:tcPr>
            <w:tcW w:w="1152" w:type="dxa"/>
            <w:tcBorders>
              <w:top w:val="nil"/>
              <w:left w:val="nil"/>
              <w:bottom w:val="single" w:sz="8" w:space="0" w:color="auto"/>
              <w:right w:val="single" w:sz="8" w:space="0" w:color="auto"/>
            </w:tcBorders>
            <w:shd w:val="clear" w:color="000000" w:fill="BFBFBF"/>
            <w:vAlign w:val="center"/>
            <w:hideMark/>
          </w:tcPr>
          <w:p w14:paraId="7A67FE0E" w14:textId="77777777" w:rsidR="00AB4589" w:rsidRPr="004F7796" w:rsidRDefault="00AB4589" w:rsidP="00AB4589">
            <w:pPr>
              <w:autoSpaceDE/>
              <w:autoSpaceDN/>
              <w:adjustRightInd/>
              <w:spacing w:after="0"/>
              <w:jc w:val="right"/>
              <w:rPr>
                <w:rFonts w:eastAsia="Times New Roman" w:cs="Arial"/>
                <w:b/>
                <w:bCs/>
                <w:lang w:eastAsia="en-GB"/>
              </w:rPr>
            </w:pPr>
            <w:r w:rsidRPr="004F7796">
              <w:rPr>
                <w:rFonts w:eastAsia="Times New Roman" w:cs="Arial"/>
                <w:b/>
                <w:bCs/>
                <w:lang w:eastAsia="en-GB"/>
              </w:rPr>
              <w:t>147.898</w:t>
            </w:r>
          </w:p>
        </w:tc>
        <w:tc>
          <w:tcPr>
            <w:tcW w:w="1152" w:type="dxa"/>
            <w:tcBorders>
              <w:top w:val="nil"/>
              <w:left w:val="nil"/>
              <w:bottom w:val="single" w:sz="8" w:space="0" w:color="auto"/>
              <w:right w:val="single" w:sz="8" w:space="0" w:color="auto"/>
            </w:tcBorders>
            <w:shd w:val="clear" w:color="000000" w:fill="BFBFBF"/>
            <w:vAlign w:val="center"/>
            <w:hideMark/>
          </w:tcPr>
          <w:p w14:paraId="028A6A9B" w14:textId="77777777" w:rsidR="00AB4589" w:rsidRPr="004F7796" w:rsidRDefault="00AB4589" w:rsidP="00AB4589">
            <w:pPr>
              <w:autoSpaceDE/>
              <w:autoSpaceDN/>
              <w:adjustRightInd/>
              <w:spacing w:after="0"/>
              <w:jc w:val="right"/>
              <w:rPr>
                <w:rFonts w:eastAsia="Times New Roman" w:cs="Arial"/>
                <w:b/>
                <w:bCs/>
                <w:lang w:eastAsia="en-GB"/>
              </w:rPr>
            </w:pPr>
            <w:r w:rsidRPr="004F7796">
              <w:rPr>
                <w:rFonts w:eastAsia="Times New Roman" w:cs="Arial"/>
                <w:b/>
                <w:bCs/>
                <w:lang w:eastAsia="en-GB"/>
              </w:rPr>
              <w:t>152.78</w:t>
            </w:r>
            <w:r>
              <w:rPr>
                <w:rFonts w:eastAsia="Times New Roman" w:cs="Arial"/>
                <w:b/>
                <w:bCs/>
                <w:lang w:eastAsia="en-GB"/>
              </w:rPr>
              <w:t>2</w:t>
            </w:r>
          </w:p>
        </w:tc>
        <w:tc>
          <w:tcPr>
            <w:tcW w:w="1134" w:type="dxa"/>
            <w:tcBorders>
              <w:top w:val="nil"/>
              <w:left w:val="nil"/>
              <w:bottom w:val="single" w:sz="8" w:space="0" w:color="auto"/>
              <w:right w:val="single" w:sz="8" w:space="0" w:color="auto"/>
            </w:tcBorders>
            <w:shd w:val="clear" w:color="000000" w:fill="BFBFBF"/>
            <w:vAlign w:val="center"/>
            <w:hideMark/>
          </w:tcPr>
          <w:p w14:paraId="1328782E" w14:textId="77777777" w:rsidR="00AB4589" w:rsidRPr="004F7796" w:rsidRDefault="00AB4589" w:rsidP="00AB4589">
            <w:pPr>
              <w:autoSpaceDE/>
              <w:autoSpaceDN/>
              <w:adjustRightInd/>
              <w:spacing w:after="0"/>
              <w:jc w:val="right"/>
              <w:rPr>
                <w:rFonts w:eastAsia="Times New Roman" w:cs="Arial"/>
                <w:b/>
                <w:bCs/>
                <w:lang w:eastAsia="en-GB"/>
              </w:rPr>
            </w:pPr>
            <w:r w:rsidRPr="004F7796">
              <w:rPr>
                <w:rFonts w:eastAsia="Times New Roman" w:cs="Arial"/>
                <w:b/>
                <w:bCs/>
                <w:lang w:eastAsia="en-GB"/>
              </w:rPr>
              <w:t>143.821</w:t>
            </w:r>
          </w:p>
        </w:tc>
        <w:tc>
          <w:tcPr>
            <w:tcW w:w="1134" w:type="dxa"/>
            <w:tcBorders>
              <w:top w:val="nil"/>
              <w:left w:val="nil"/>
              <w:bottom w:val="single" w:sz="8" w:space="0" w:color="auto"/>
              <w:right w:val="single" w:sz="8" w:space="0" w:color="auto"/>
            </w:tcBorders>
            <w:shd w:val="clear" w:color="000000" w:fill="BFBFBF"/>
            <w:vAlign w:val="center"/>
            <w:hideMark/>
          </w:tcPr>
          <w:p w14:paraId="12973536" w14:textId="77777777" w:rsidR="00AB4589" w:rsidRPr="004F7796" w:rsidRDefault="00AB4589" w:rsidP="00AB4589">
            <w:pPr>
              <w:autoSpaceDE/>
              <w:autoSpaceDN/>
              <w:adjustRightInd/>
              <w:spacing w:after="0"/>
              <w:jc w:val="right"/>
              <w:rPr>
                <w:rFonts w:eastAsia="Times New Roman" w:cs="Arial"/>
                <w:b/>
                <w:bCs/>
                <w:lang w:eastAsia="en-GB"/>
              </w:rPr>
            </w:pPr>
            <w:r w:rsidRPr="004F7796">
              <w:rPr>
                <w:rFonts w:eastAsia="Times New Roman" w:cs="Arial"/>
                <w:b/>
                <w:bCs/>
                <w:lang w:eastAsia="en-GB"/>
              </w:rPr>
              <w:t>115.383</w:t>
            </w:r>
          </w:p>
        </w:tc>
      </w:tr>
    </w:tbl>
    <w:p w14:paraId="50CD0188" w14:textId="77777777" w:rsidR="00AB4589" w:rsidRPr="004F7796" w:rsidRDefault="00AB4589" w:rsidP="00AB4589">
      <w:pPr>
        <w:tabs>
          <w:tab w:val="left" w:pos="567"/>
          <w:tab w:val="left" w:pos="1134"/>
        </w:tabs>
        <w:spacing w:after="0"/>
        <w:rPr>
          <w:rFonts w:cs="Arial"/>
          <w:highlight w:val="yellow"/>
        </w:rPr>
      </w:pPr>
    </w:p>
    <w:p w14:paraId="63C0A68E" w14:textId="77777777" w:rsidR="00AB4589" w:rsidRPr="003A40B3" w:rsidRDefault="00AB4589" w:rsidP="00AB4589">
      <w:pPr>
        <w:tabs>
          <w:tab w:val="left" w:pos="567"/>
          <w:tab w:val="left" w:pos="1134"/>
        </w:tabs>
        <w:spacing w:after="0"/>
        <w:rPr>
          <w:rFonts w:cs="Arial"/>
          <w:b/>
        </w:rPr>
      </w:pPr>
      <w:r w:rsidRPr="003A40B3">
        <w:rPr>
          <w:rFonts w:cs="Arial"/>
          <w:b/>
        </w:rPr>
        <w:t xml:space="preserve">5. Future </w:t>
      </w:r>
      <w:r>
        <w:rPr>
          <w:rFonts w:cs="Arial"/>
          <w:b/>
        </w:rPr>
        <w:t>r</w:t>
      </w:r>
      <w:r w:rsidRPr="003A40B3">
        <w:rPr>
          <w:rFonts w:cs="Arial"/>
          <w:b/>
        </w:rPr>
        <w:t xml:space="preserve">isks and </w:t>
      </w:r>
      <w:r>
        <w:rPr>
          <w:rFonts w:cs="Arial"/>
          <w:b/>
        </w:rPr>
        <w:t>o</w:t>
      </w:r>
      <w:r w:rsidRPr="003A40B3">
        <w:rPr>
          <w:rFonts w:cs="Arial"/>
          <w:b/>
        </w:rPr>
        <w:t>pportunities</w:t>
      </w:r>
    </w:p>
    <w:p w14:paraId="70C281DB" w14:textId="77777777" w:rsidR="00AB4589" w:rsidRPr="00813473" w:rsidRDefault="00AB4589" w:rsidP="00AB4589">
      <w:pPr>
        <w:tabs>
          <w:tab w:val="left" w:pos="567"/>
          <w:tab w:val="left" w:pos="1134"/>
        </w:tabs>
        <w:spacing w:after="0"/>
        <w:rPr>
          <w:rFonts w:cs="Arial"/>
          <w:highlight w:val="yellow"/>
        </w:rPr>
      </w:pPr>
    </w:p>
    <w:p w14:paraId="70FC9A74" w14:textId="77777777" w:rsidR="00AB4589" w:rsidRPr="003A40B3" w:rsidRDefault="00AB4589" w:rsidP="00AB4589">
      <w:pPr>
        <w:tabs>
          <w:tab w:val="left" w:pos="567"/>
          <w:tab w:val="left" w:pos="1134"/>
        </w:tabs>
        <w:spacing w:after="0"/>
        <w:rPr>
          <w:rFonts w:cs="Arial"/>
        </w:rPr>
      </w:pPr>
      <w:r w:rsidRPr="003A40B3">
        <w:rPr>
          <w:rFonts w:cs="Arial"/>
        </w:rPr>
        <w:t>The following are key future risks, the full impact of which is not known at this stage:</w:t>
      </w:r>
    </w:p>
    <w:p w14:paraId="25BE4390" w14:textId="77777777" w:rsidR="00AB4589" w:rsidRPr="003A40B3" w:rsidRDefault="00AB4589" w:rsidP="00AB4589">
      <w:pPr>
        <w:tabs>
          <w:tab w:val="left" w:pos="567"/>
          <w:tab w:val="left" w:pos="1134"/>
        </w:tabs>
        <w:spacing w:after="0"/>
        <w:rPr>
          <w:rFonts w:cs="Arial"/>
        </w:rPr>
      </w:pPr>
    </w:p>
    <w:p w14:paraId="0F32A2B0" w14:textId="77777777" w:rsidR="00AB4589" w:rsidRPr="003A40B3" w:rsidRDefault="00AB4589" w:rsidP="00AB4589">
      <w:pPr>
        <w:tabs>
          <w:tab w:val="left" w:pos="567"/>
          <w:tab w:val="left" w:pos="1134"/>
        </w:tabs>
        <w:spacing w:after="0"/>
        <w:rPr>
          <w:rFonts w:cs="Arial"/>
          <w:b/>
        </w:rPr>
      </w:pPr>
      <w:r w:rsidRPr="003A40B3">
        <w:rPr>
          <w:rFonts w:cs="Arial"/>
          <w:b/>
        </w:rPr>
        <w:t xml:space="preserve">5.1 Savings </w:t>
      </w:r>
      <w:r>
        <w:rPr>
          <w:rFonts w:cs="Arial"/>
          <w:b/>
        </w:rPr>
        <w:t>d</w:t>
      </w:r>
      <w:r w:rsidRPr="003A40B3">
        <w:rPr>
          <w:rFonts w:cs="Arial"/>
          <w:b/>
        </w:rPr>
        <w:t>elivery</w:t>
      </w:r>
    </w:p>
    <w:p w14:paraId="2497F655" w14:textId="77777777" w:rsidR="00AB4589" w:rsidRPr="00813473" w:rsidRDefault="00AB4589" w:rsidP="00AB4589">
      <w:pPr>
        <w:pStyle w:val="PlainText"/>
        <w:rPr>
          <w:rFonts w:ascii="Arial" w:hAnsi="Arial" w:cs="Arial"/>
          <w:sz w:val="24"/>
          <w:szCs w:val="24"/>
          <w:highlight w:val="yellow"/>
        </w:rPr>
      </w:pPr>
    </w:p>
    <w:p w14:paraId="74D1DDC9" w14:textId="77777777" w:rsidR="00AB4589" w:rsidRPr="00EF335C" w:rsidRDefault="00AB4589" w:rsidP="00AB4589">
      <w:pPr>
        <w:pStyle w:val="PlainText"/>
        <w:rPr>
          <w:rFonts w:ascii="Arial" w:hAnsi="Arial" w:cs="Arial"/>
          <w:sz w:val="24"/>
          <w:szCs w:val="24"/>
        </w:rPr>
      </w:pPr>
      <w:r w:rsidRPr="00EF335C">
        <w:rPr>
          <w:rFonts w:ascii="Arial" w:hAnsi="Arial" w:cs="Arial"/>
          <w:sz w:val="24"/>
          <w:szCs w:val="24"/>
        </w:rPr>
        <w:t xml:space="preserve">The scale of savings agreed to be delivered over future financial years remains significant with £58.370m to be delivered over the period 2020/21 – 2022/23. </w:t>
      </w:r>
    </w:p>
    <w:p w14:paraId="32367017" w14:textId="77777777" w:rsidR="00AB4589" w:rsidRPr="00EF335C" w:rsidRDefault="00AB4589" w:rsidP="00AB4589">
      <w:pPr>
        <w:pStyle w:val="PlainText"/>
        <w:rPr>
          <w:rFonts w:ascii="Arial" w:hAnsi="Arial" w:cs="Arial"/>
          <w:sz w:val="24"/>
          <w:szCs w:val="24"/>
        </w:rPr>
      </w:pPr>
    </w:p>
    <w:p w14:paraId="6D76F6CC" w14:textId="77777777" w:rsidR="00AB4589" w:rsidRPr="00EF335C" w:rsidRDefault="00AB4589" w:rsidP="00AB4589">
      <w:pPr>
        <w:pStyle w:val="PlainText"/>
        <w:rPr>
          <w:rFonts w:ascii="Arial" w:hAnsi="Arial" w:cs="Arial"/>
          <w:sz w:val="24"/>
          <w:szCs w:val="24"/>
        </w:rPr>
      </w:pPr>
      <w:r w:rsidRPr="00EF335C">
        <w:rPr>
          <w:rFonts w:ascii="Arial" w:hAnsi="Arial" w:cs="Arial"/>
          <w:sz w:val="24"/>
          <w:szCs w:val="24"/>
        </w:rPr>
        <w:t xml:space="preserve">Any significant under-delivery or slippage to delivery timeframes will create an additional funding pressure and impact on the ongoing and longer-term financial health of the council.  </w:t>
      </w:r>
    </w:p>
    <w:p w14:paraId="07E6E527" w14:textId="77777777" w:rsidR="00AB4589" w:rsidRPr="00EF335C" w:rsidRDefault="00AB4589" w:rsidP="00AB4589">
      <w:pPr>
        <w:pStyle w:val="PlainText"/>
        <w:rPr>
          <w:rFonts w:ascii="Arial" w:hAnsi="Arial" w:cs="Arial"/>
          <w:sz w:val="24"/>
          <w:szCs w:val="24"/>
        </w:rPr>
      </w:pPr>
    </w:p>
    <w:p w14:paraId="3FF1B227" w14:textId="77777777" w:rsidR="00AB4589" w:rsidRPr="00EF335C" w:rsidRDefault="00AB4589" w:rsidP="00AB4589">
      <w:pPr>
        <w:pStyle w:val="PlainText"/>
        <w:rPr>
          <w:rFonts w:ascii="Arial" w:hAnsi="Arial" w:cs="Arial"/>
          <w:sz w:val="24"/>
          <w:szCs w:val="24"/>
        </w:rPr>
      </w:pPr>
      <w:r w:rsidRPr="00EF335C">
        <w:rPr>
          <w:rFonts w:ascii="Arial" w:hAnsi="Arial" w:cs="Arial"/>
          <w:sz w:val="24"/>
          <w:szCs w:val="24"/>
        </w:rPr>
        <w:t xml:space="preserve">There are inherent risks in the delivery of any savings programme of this scale, particularly where they are directly linked to reducing the future demand for services.  However, there is a strong track record of delivery of the vast majority of previous savings plans. </w:t>
      </w:r>
    </w:p>
    <w:p w14:paraId="364C69B8" w14:textId="77777777" w:rsidR="00AB4589" w:rsidRPr="00EF335C" w:rsidRDefault="00AB4589" w:rsidP="00AB4589">
      <w:pPr>
        <w:pStyle w:val="PlainText"/>
        <w:rPr>
          <w:rFonts w:ascii="Arial" w:hAnsi="Arial" w:cs="Arial"/>
          <w:sz w:val="24"/>
          <w:szCs w:val="24"/>
        </w:rPr>
      </w:pPr>
    </w:p>
    <w:p w14:paraId="2C8092BC" w14:textId="77777777" w:rsidR="00AB4589" w:rsidRPr="00EF335C" w:rsidRDefault="00AB4589" w:rsidP="00AB4589">
      <w:pPr>
        <w:pStyle w:val="PlainText"/>
        <w:rPr>
          <w:rFonts w:ascii="Arial" w:hAnsi="Arial" w:cs="Arial"/>
          <w:sz w:val="24"/>
          <w:szCs w:val="24"/>
        </w:rPr>
      </w:pPr>
      <w:r w:rsidRPr="00EF335C">
        <w:rPr>
          <w:rFonts w:ascii="Arial" w:hAnsi="Arial" w:cs="Arial"/>
          <w:sz w:val="24"/>
          <w:szCs w:val="24"/>
        </w:rPr>
        <w:t xml:space="preserve">However, there are comprehensive arrangements in place to track delivery of financial savings and take corrective actions where required. </w:t>
      </w:r>
    </w:p>
    <w:p w14:paraId="5B89F66F" w14:textId="77777777" w:rsidR="00AB4589" w:rsidRPr="00813473" w:rsidRDefault="00AB4589" w:rsidP="00AB4589">
      <w:pPr>
        <w:tabs>
          <w:tab w:val="left" w:pos="567"/>
          <w:tab w:val="left" w:pos="1134"/>
        </w:tabs>
        <w:spacing w:after="0"/>
        <w:rPr>
          <w:rFonts w:cs="Arial"/>
          <w:highlight w:val="yellow"/>
        </w:rPr>
      </w:pPr>
    </w:p>
    <w:p w14:paraId="56BFECBF" w14:textId="77777777" w:rsidR="00AB4589" w:rsidRPr="003A40B3" w:rsidRDefault="00AB4589" w:rsidP="00AB4589">
      <w:pPr>
        <w:tabs>
          <w:tab w:val="left" w:pos="567"/>
          <w:tab w:val="left" w:pos="1134"/>
        </w:tabs>
        <w:spacing w:after="0"/>
        <w:rPr>
          <w:rFonts w:cs="Arial"/>
          <w:b/>
        </w:rPr>
      </w:pPr>
      <w:r w:rsidRPr="003A40B3">
        <w:rPr>
          <w:rFonts w:cs="Arial"/>
          <w:b/>
        </w:rPr>
        <w:t xml:space="preserve">5.2 Further </w:t>
      </w:r>
      <w:r>
        <w:rPr>
          <w:rFonts w:cs="Arial"/>
          <w:b/>
        </w:rPr>
        <w:t>s</w:t>
      </w:r>
      <w:r w:rsidRPr="003A40B3">
        <w:rPr>
          <w:rFonts w:cs="Arial"/>
          <w:b/>
        </w:rPr>
        <w:t xml:space="preserve">avings </w:t>
      </w:r>
      <w:r>
        <w:rPr>
          <w:rFonts w:cs="Arial"/>
          <w:b/>
        </w:rPr>
        <w:t>o</w:t>
      </w:r>
      <w:r w:rsidRPr="003A40B3">
        <w:rPr>
          <w:rFonts w:cs="Arial"/>
          <w:b/>
        </w:rPr>
        <w:t>pportunities</w:t>
      </w:r>
    </w:p>
    <w:p w14:paraId="1BEA2EDC" w14:textId="77777777" w:rsidR="00AB4589" w:rsidRPr="00813473" w:rsidRDefault="00AB4589" w:rsidP="00AB4589">
      <w:pPr>
        <w:tabs>
          <w:tab w:val="left" w:pos="567"/>
          <w:tab w:val="left" w:pos="1134"/>
        </w:tabs>
        <w:spacing w:after="0"/>
        <w:rPr>
          <w:rFonts w:cs="Arial"/>
          <w:highlight w:val="yellow"/>
        </w:rPr>
      </w:pPr>
    </w:p>
    <w:p w14:paraId="02146EBD" w14:textId="77777777" w:rsidR="00AB4589" w:rsidRPr="004B3403" w:rsidRDefault="00AB4589" w:rsidP="00AB4589">
      <w:pPr>
        <w:tabs>
          <w:tab w:val="left" w:pos="567"/>
          <w:tab w:val="left" w:pos="1134"/>
        </w:tabs>
        <w:spacing w:after="0"/>
        <w:rPr>
          <w:rFonts w:cs="Arial"/>
        </w:rPr>
      </w:pPr>
      <w:r w:rsidRPr="00845A18">
        <w:rPr>
          <w:rFonts w:cs="Arial"/>
        </w:rPr>
        <w:t xml:space="preserve">As noted in the body of the report, phase 1 of the service challenge process also identified a number of cross-cutting work streams and areas for investigation and review which are being taken forward as part of the service challenge phase 2 process.  </w:t>
      </w:r>
      <w:r w:rsidRPr="004B3403">
        <w:rPr>
          <w:rFonts w:cs="Arial"/>
        </w:rPr>
        <w:t xml:space="preserve">These work streams are necessarily complex, requiring a fundamental challenge of, in many cases, longstanding organisational approaches, systems and processes to enable both service improvements and cost savings to be identified.   Whilst financial benchmarking data, has identified that some services are delivered at a relatively significant higher cost overall than the mean or median county council.  </w:t>
      </w:r>
    </w:p>
    <w:p w14:paraId="64E900B4" w14:textId="77777777" w:rsidR="00AB4589" w:rsidRPr="004B3403" w:rsidRDefault="00AB4589" w:rsidP="00AB4589">
      <w:pPr>
        <w:tabs>
          <w:tab w:val="left" w:pos="567"/>
          <w:tab w:val="left" w:pos="1134"/>
        </w:tabs>
        <w:spacing w:after="0"/>
        <w:rPr>
          <w:rFonts w:cs="Arial"/>
        </w:rPr>
      </w:pPr>
    </w:p>
    <w:p w14:paraId="59CCF480" w14:textId="77777777" w:rsidR="00AB4589" w:rsidRPr="004B3403" w:rsidRDefault="00AB4589" w:rsidP="00AB4589">
      <w:pPr>
        <w:tabs>
          <w:tab w:val="left" w:pos="567"/>
          <w:tab w:val="left" w:pos="1134"/>
        </w:tabs>
        <w:spacing w:after="0"/>
        <w:rPr>
          <w:rFonts w:cs="Arial"/>
        </w:rPr>
      </w:pPr>
      <w:r w:rsidRPr="004B3403">
        <w:rPr>
          <w:rFonts w:cs="Arial"/>
        </w:rPr>
        <w:t xml:space="preserve">Work is progressing on phase two of the service challenge process which will seek to address the ongoing deficit and is focusing on a number of cross-cutting work streams and areas for investigation and review identified in the initial phase, but where further work is needed to robustly evidence the scale and form of proposals.  In particular, service challenge phase 2 is focused on the complex levers required to create an environment where service configuration and operational practice reflects best in class and supports demand management which is the single biggest driver on our costs. </w:t>
      </w:r>
      <w:r w:rsidRPr="004B3403">
        <w:rPr>
          <w:rFonts w:cs="Arial"/>
        </w:rPr>
        <w:lastRenderedPageBreak/>
        <w:t>Cabinet members will be kept informed of the progress on each of initiatives as and when savings proposals are evaluated and timescales for their delivery are agreed.</w:t>
      </w:r>
    </w:p>
    <w:p w14:paraId="26CCADB1" w14:textId="77777777" w:rsidR="00AB4589" w:rsidRPr="00813473" w:rsidRDefault="00AB4589" w:rsidP="00AB4589">
      <w:pPr>
        <w:tabs>
          <w:tab w:val="left" w:pos="567"/>
          <w:tab w:val="left" w:pos="1134"/>
        </w:tabs>
        <w:spacing w:after="0"/>
        <w:rPr>
          <w:rFonts w:cs="Arial"/>
          <w:highlight w:val="yellow"/>
        </w:rPr>
      </w:pPr>
    </w:p>
    <w:p w14:paraId="153014F4" w14:textId="77777777" w:rsidR="00AB4589" w:rsidRPr="003A40B3" w:rsidRDefault="00AB4589" w:rsidP="00AB4589">
      <w:pPr>
        <w:tabs>
          <w:tab w:val="left" w:pos="567"/>
          <w:tab w:val="left" w:pos="1134"/>
        </w:tabs>
        <w:spacing w:after="0"/>
        <w:rPr>
          <w:rFonts w:cs="Arial"/>
          <w:b/>
        </w:rPr>
      </w:pPr>
      <w:r w:rsidRPr="003A40B3">
        <w:rPr>
          <w:rFonts w:cs="Arial"/>
          <w:b/>
        </w:rPr>
        <w:t xml:space="preserve">5.3 Business </w:t>
      </w:r>
      <w:r>
        <w:rPr>
          <w:rFonts w:cs="Arial"/>
          <w:b/>
        </w:rPr>
        <w:t>r</w:t>
      </w:r>
      <w:r w:rsidRPr="003A40B3">
        <w:rPr>
          <w:rFonts w:cs="Arial"/>
          <w:b/>
        </w:rPr>
        <w:t xml:space="preserve">ates </w:t>
      </w:r>
      <w:r>
        <w:rPr>
          <w:rFonts w:cs="Arial"/>
          <w:b/>
        </w:rPr>
        <w:t>r</w:t>
      </w:r>
      <w:r w:rsidRPr="003A40B3">
        <w:rPr>
          <w:rFonts w:cs="Arial"/>
          <w:b/>
        </w:rPr>
        <w:t xml:space="preserve">etention / </w:t>
      </w:r>
      <w:r>
        <w:rPr>
          <w:rFonts w:cs="Arial"/>
          <w:b/>
        </w:rPr>
        <w:t>c</w:t>
      </w:r>
      <w:r w:rsidRPr="003A40B3">
        <w:rPr>
          <w:rFonts w:cs="Arial"/>
          <w:b/>
        </w:rPr>
        <w:t xml:space="preserve">hanges to </w:t>
      </w:r>
      <w:r>
        <w:rPr>
          <w:rFonts w:cs="Arial"/>
          <w:b/>
        </w:rPr>
        <w:t>f</w:t>
      </w:r>
      <w:r w:rsidRPr="003A40B3">
        <w:rPr>
          <w:rFonts w:cs="Arial"/>
          <w:b/>
        </w:rPr>
        <w:t xml:space="preserve">unding </w:t>
      </w:r>
      <w:r>
        <w:rPr>
          <w:rFonts w:cs="Arial"/>
          <w:b/>
        </w:rPr>
        <w:t>f</w:t>
      </w:r>
      <w:r w:rsidRPr="003A40B3">
        <w:rPr>
          <w:rFonts w:cs="Arial"/>
          <w:b/>
        </w:rPr>
        <w:t>ormula</w:t>
      </w:r>
    </w:p>
    <w:p w14:paraId="70A08A36" w14:textId="77777777" w:rsidR="00AB4589" w:rsidRPr="00813473" w:rsidRDefault="00AB4589" w:rsidP="00AB4589">
      <w:pPr>
        <w:tabs>
          <w:tab w:val="left" w:pos="567"/>
          <w:tab w:val="left" w:pos="1134"/>
        </w:tabs>
        <w:spacing w:after="0"/>
        <w:rPr>
          <w:rFonts w:cs="Arial"/>
          <w:b/>
          <w:highlight w:val="yellow"/>
        </w:rPr>
      </w:pPr>
    </w:p>
    <w:p w14:paraId="59E334F3" w14:textId="77777777" w:rsidR="00AB4589" w:rsidRDefault="00AB4589" w:rsidP="00AB4589">
      <w:pPr>
        <w:tabs>
          <w:tab w:val="left" w:pos="567"/>
          <w:tab w:val="left" w:pos="1134"/>
        </w:tabs>
        <w:spacing w:after="0"/>
        <w:rPr>
          <w:rFonts w:cs="Arial"/>
        </w:rPr>
      </w:pPr>
      <w:r w:rsidRPr="003A40B3">
        <w:rPr>
          <w:rFonts w:cs="Arial"/>
        </w:rPr>
        <w:t>As previously explained, the future funding arrangements to be established by government pose a risk to the council</w:t>
      </w:r>
      <w:r>
        <w:rPr>
          <w:rFonts w:cs="Arial"/>
        </w:rPr>
        <w:t>. New arrangements for business rates, will not be in force before financial year 2021/22 at the earliest following a multi-year spending review and consultation during the course of 2020.</w:t>
      </w:r>
    </w:p>
    <w:p w14:paraId="7C732783" w14:textId="77777777" w:rsidR="00AB4589" w:rsidRDefault="00AB4589" w:rsidP="00AB4589">
      <w:pPr>
        <w:tabs>
          <w:tab w:val="left" w:pos="567"/>
          <w:tab w:val="left" w:pos="1134"/>
        </w:tabs>
        <w:spacing w:after="0"/>
        <w:rPr>
          <w:rFonts w:cs="Arial"/>
        </w:rPr>
      </w:pPr>
    </w:p>
    <w:p w14:paraId="230BE375" w14:textId="733AB6C2" w:rsidR="00AB4589" w:rsidRPr="003A40B3" w:rsidRDefault="00AB4589" w:rsidP="00AB4589">
      <w:pPr>
        <w:tabs>
          <w:tab w:val="left" w:pos="567"/>
          <w:tab w:val="left" w:pos="1134"/>
        </w:tabs>
        <w:spacing w:after="0"/>
        <w:rPr>
          <w:rFonts w:cs="Arial"/>
        </w:rPr>
      </w:pPr>
      <w:r>
        <w:rPr>
          <w:rFonts w:cs="Arial"/>
        </w:rPr>
        <w:t>The outcome f</w:t>
      </w:r>
      <w:r w:rsidR="005B1A8A">
        <w:rPr>
          <w:rFonts w:cs="Arial"/>
        </w:rPr>
        <w:t>ro</w:t>
      </w:r>
      <w:r>
        <w:rPr>
          <w:rFonts w:cs="Arial"/>
        </w:rPr>
        <w:t>m the review</w:t>
      </w:r>
      <w:r w:rsidRPr="003A40B3">
        <w:rPr>
          <w:rFonts w:cs="Arial"/>
        </w:rPr>
        <w:t xml:space="preserve"> may reduce funding below what is assumed in the MTFS. Conversely there is equally an opportunity that additional resources are made available through this process.  The successful outcome of the Lancashire business rate</w:t>
      </w:r>
      <w:r>
        <w:rPr>
          <w:rFonts w:cs="Arial"/>
        </w:rPr>
        <w:t>s</w:t>
      </w:r>
      <w:r w:rsidRPr="003A40B3">
        <w:rPr>
          <w:rFonts w:cs="Arial"/>
        </w:rPr>
        <w:t xml:space="preserve"> pilot bid in 2019/20 has enabled the county council, districts, </w:t>
      </w:r>
      <w:proofErr w:type="spellStart"/>
      <w:r w:rsidRPr="003A40B3">
        <w:rPr>
          <w:rFonts w:cs="Arial"/>
        </w:rPr>
        <w:t>unitaries</w:t>
      </w:r>
      <w:proofErr w:type="spellEnd"/>
      <w:r w:rsidRPr="003A40B3">
        <w:rPr>
          <w:rFonts w:cs="Arial"/>
        </w:rPr>
        <w:t xml:space="preserve"> and fire authority to be well prepared for the implementation of the business rates retention scheme although the final details are not known at this stage. </w:t>
      </w:r>
    </w:p>
    <w:p w14:paraId="1A21B24F" w14:textId="77777777" w:rsidR="00AB4589" w:rsidRPr="00813473" w:rsidRDefault="00AB4589" w:rsidP="00AB4589">
      <w:pPr>
        <w:tabs>
          <w:tab w:val="left" w:pos="567"/>
          <w:tab w:val="left" w:pos="1134"/>
        </w:tabs>
        <w:spacing w:after="0"/>
        <w:rPr>
          <w:rFonts w:cs="Arial"/>
          <w:highlight w:val="yellow"/>
        </w:rPr>
      </w:pPr>
    </w:p>
    <w:p w14:paraId="19C23A06" w14:textId="77777777" w:rsidR="00AB4589" w:rsidRPr="00FE742A" w:rsidRDefault="00AB4589" w:rsidP="00AB4589">
      <w:pPr>
        <w:tabs>
          <w:tab w:val="left" w:pos="567"/>
          <w:tab w:val="left" w:pos="1134"/>
        </w:tabs>
        <w:spacing w:after="0"/>
        <w:rPr>
          <w:rFonts w:cs="Arial"/>
          <w:b/>
        </w:rPr>
      </w:pPr>
      <w:r w:rsidRPr="00FE742A">
        <w:rPr>
          <w:rFonts w:cs="Arial"/>
          <w:b/>
        </w:rPr>
        <w:t xml:space="preserve">5.4 Children's </w:t>
      </w:r>
      <w:r>
        <w:rPr>
          <w:rFonts w:cs="Arial"/>
          <w:b/>
        </w:rPr>
        <w:t>s</w:t>
      </w:r>
      <w:r w:rsidRPr="00FE742A">
        <w:rPr>
          <w:rFonts w:cs="Arial"/>
          <w:b/>
        </w:rPr>
        <w:t xml:space="preserve">ocial </w:t>
      </w:r>
      <w:r>
        <w:rPr>
          <w:rFonts w:cs="Arial"/>
          <w:b/>
        </w:rPr>
        <w:t>c</w:t>
      </w:r>
      <w:r w:rsidRPr="00FE742A">
        <w:rPr>
          <w:rFonts w:cs="Arial"/>
          <w:b/>
        </w:rPr>
        <w:t>are</w:t>
      </w:r>
    </w:p>
    <w:p w14:paraId="4B38A9EF" w14:textId="77777777" w:rsidR="00AB4589" w:rsidRPr="00FE742A" w:rsidRDefault="00AB4589" w:rsidP="00AB4589">
      <w:pPr>
        <w:tabs>
          <w:tab w:val="left" w:pos="567"/>
          <w:tab w:val="left" w:pos="1134"/>
        </w:tabs>
        <w:spacing w:after="0"/>
        <w:rPr>
          <w:rFonts w:cs="Arial"/>
          <w:b/>
        </w:rPr>
      </w:pPr>
    </w:p>
    <w:p w14:paraId="57DC00AD" w14:textId="77777777" w:rsidR="00AB4589" w:rsidRPr="00FE742A" w:rsidRDefault="00AB4589" w:rsidP="00AB4589">
      <w:pPr>
        <w:tabs>
          <w:tab w:val="left" w:pos="567"/>
          <w:tab w:val="left" w:pos="1134"/>
        </w:tabs>
        <w:spacing w:after="0"/>
        <w:rPr>
          <w:rFonts w:cs="Arial"/>
        </w:rPr>
      </w:pPr>
      <w:r w:rsidRPr="00FE742A">
        <w:rPr>
          <w:rFonts w:cs="Arial"/>
        </w:rPr>
        <w:t>Children's social care demand levels are forecast to continue to increase, particularly within agency residential placements, agency fostering placements and also special guardianship orders. The rate of growth is quite volatile, and we will continue to monitor this as part of the monthly monitoring cycle.</w:t>
      </w:r>
    </w:p>
    <w:p w14:paraId="2E12D84C" w14:textId="77777777" w:rsidR="00AB4589" w:rsidRPr="00813473" w:rsidRDefault="00AB4589" w:rsidP="00AB4589">
      <w:pPr>
        <w:tabs>
          <w:tab w:val="left" w:pos="567"/>
          <w:tab w:val="left" w:pos="1134"/>
        </w:tabs>
        <w:spacing w:after="0"/>
        <w:rPr>
          <w:rFonts w:cs="Arial"/>
          <w:highlight w:val="yellow"/>
        </w:rPr>
      </w:pPr>
    </w:p>
    <w:p w14:paraId="2400A138" w14:textId="5CCA32C9" w:rsidR="00AB4589" w:rsidRPr="00206A56" w:rsidRDefault="00AB4589" w:rsidP="00AB4589">
      <w:pPr>
        <w:spacing w:after="0"/>
        <w:rPr>
          <w:rFonts w:cs="Arial"/>
        </w:rPr>
      </w:pPr>
      <w:r w:rsidRPr="00206A56">
        <w:rPr>
          <w:rFonts w:cs="Arial"/>
        </w:rPr>
        <w:t>Significant additional budget was allocated to children's social support improvements and demand pressures over the past 3 years. An assumption within this MTFS is made that demand will plateau in future years, and a reducing demand increase has been built into future year's budget. The service has been looking at best practice sites across the country to explore opportunities to reduce demand in a way that delivers better outcomes for children</w:t>
      </w:r>
      <w:r>
        <w:rPr>
          <w:rFonts w:cs="Arial"/>
        </w:rPr>
        <w:t>, We will be adopting the Lancashire family safeguarding model in 2020, which will drive better outcomes for children, by focussing on early family based support, whilst also delivering an efficiency of c£10.000m per annum when the practice is fully embedded across the county</w:t>
      </w:r>
      <w:r w:rsidRPr="00206A56">
        <w:rPr>
          <w:rFonts w:cs="Arial"/>
        </w:rPr>
        <w:t xml:space="preserve">. </w:t>
      </w:r>
    </w:p>
    <w:p w14:paraId="4735B15E" w14:textId="77777777" w:rsidR="00AB4589" w:rsidRPr="00813473" w:rsidRDefault="00AB4589" w:rsidP="00AB4589">
      <w:pPr>
        <w:tabs>
          <w:tab w:val="left" w:pos="567"/>
          <w:tab w:val="left" w:pos="1134"/>
        </w:tabs>
        <w:spacing w:after="0"/>
        <w:rPr>
          <w:rFonts w:cs="Arial"/>
          <w:highlight w:val="yellow"/>
        </w:rPr>
      </w:pPr>
    </w:p>
    <w:p w14:paraId="71E23CAF" w14:textId="77777777" w:rsidR="00AB4589" w:rsidRPr="00220A1F" w:rsidRDefault="00AB4589" w:rsidP="00AB4589">
      <w:pPr>
        <w:tabs>
          <w:tab w:val="left" w:pos="567"/>
          <w:tab w:val="left" w:pos="1134"/>
        </w:tabs>
        <w:spacing w:after="0"/>
        <w:rPr>
          <w:rFonts w:cs="Arial"/>
          <w:b/>
        </w:rPr>
      </w:pPr>
      <w:r w:rsidRPr="00220A1F">
        <w:rPr>
          <w:rFonts w:cs="Arial"/>
          <w:b/>
        </w:rPr>
        <w:t xml:space="preserve">5.5 Troubled </w:t>
      </w:r>
      <w:r>
        <w:rPr>
          <w:rFonts w:cs="Arial"/>
          <w:b/>
        </w:rPr>
        <w:t>f</w:t>
      </w:r>
      <w:r w:rsidRPr="00220A1F">
        <w:rPr>
          <w:rFonts w:cs="Arial"/>
          <w:b/>
        </w:rPr>
        <w:t xml:space="preserve">amilies </w:t>
      </w:r>
      <w:r>
        <w:rPr>
          <w:rFonts w:cs="Arial"/>
          <w:b/>
        </w:rPr>
        <w:t>f</w:t>
      </w:r>
      <w:r w:rsidRPr="00220A1F">
        <w:rPr>
          <w:rFonts w:cs="Arial"/>
          <w:b/>
        </w:rPr>
        <w:t>unding</w:t>
      </w:r>
    </w:p>
    <w:p w14:paraId="0F3F081A" w14:textId="77777777" w:rsidR="00AB4589" w:rsidRPr="00220A1F" w:rsidRDefault="00AB4589" w:rsidP="00AB4589">
      <w:pPr>
        <w:tabs>
          <w:tab w:val="left" w:pos="567"/>
          <w:tab w:val="left" w:pos="1134"/>
        </w:tabs>
        <w:spacing w:after="0"/>
        <w:rPr>
          <w:rFonts w:cs="Arial"/>
          <w:b/>
        </w:rPr>
      </w:pPr>
    </w:p>
    <w:p w14:paraId="0026911C" w14:textId="77777777" w:rsidR="00AB4589" w:rsidRPr="00220A1F" w:rsidRDefault="00AB4589" w:rsidP="00AB4589">
      <w:pPr>
        <w:tabs>
          <w:tab w:val="left" w:pos="567"/>
          <w:tab w:val="left" w:pos="1134"/>
        </w:tabs>
        <w:spacing w:after="0"/>
        <w:rPr>
          <w:rFonts w:cs="Arial"/>
        </w:rPr>
      </w:pPr>
      <w:r w:rsidRPr="00220A1F">
        <w:rPr>
          <w:rFonts w:cs="Arial"/>
        </w:rPr>
        <w:t xml:space="preserve">The county council currently receives funding towards working with troubled families. Where we have received written confirmation of troubled families funding this has been included in the MTFS. </w:t>
      </w:r>
      <w:r>
        <w:rPr>
          <w:rFonts w:cs="Arial"/>
        </w:rPr>
        <w:t>The spending review in September 2019 confirmed that that funding would continue p</w:t>
      </w:r>
      <w:r w:rsidRPr="00220A1F">
        <w:rPr>
          <w:rFonts w:cs="Arial"/>
        </w:rPr>
        <w:t xml:space="preserve">ost 2019/20 </w:t>
      </w:r>
      <w:r>
        <w:rPr>
          <w:rFonts w:cs="Arial"/>
        </w:rPr>
        <w:t>however there was no confirmation of the likely sums available</w:t>
      </w:r>
      <w:r w:rsidRPr="00220A1F">
        <w:rPr>
          <w:rFonts w:cs="Arial"/>
        </w:rPr>
        <w:t xml:space="preserve">. It is assumed that funding levels will remain at 2019/20 levels. </w:t>
      </w:r>
      <w:r>
        <w:rPr>
          <w:rFonts w:cs="Arial"/>
        </w:rPr>
        <w:t xml:space="preserve">While we understand that alternative funding will be available for this work, at the moment there have been no details announced as to how this will arise. </w:t>
      </w:r>
      <w:r w:rsidRPr="00220A1F">
        <w:rPr>
          <w:rFonts w:cs="Arial"/>
        </w:rPr>
        <w:t>If the funding does cease this will result in a pressure on the budget of £2.1</w:t>
      </w:r>
      <w:r>
        <w:rPr>
          <w:rFonts w:cs="Arial"/>
        </w:rPr>
        <w:t>00</w:t>
      </w:r>
      <w:r w:rsidRPr="00220A1F">
        <w:rPr>
          <w:rFonts w:cs="Arial"/>
        </w:rPr>
        <w:t xml:space="preserve">m. Given the lack of clarity we have discussed this with other </w:t>
      </w:r>
      <w:r>
        <w:rPr>
          <w:rFonts w:cs="Arial"/>
        </w:rPr>
        <w:t>l</w:t>
      </w:r>
      <w:r w:rsidRPr="00220A1F">
        <w:rPr>
          <w:rFonts w:cs="Arial"/>
        </w:rPr>
        <w:t xml:space="preserve">ocal </w:t>
      </w:r>
      <w:r>
        <w:rPr>
          <w:rFonts w:cs="Arial"/>
        </w:rPr>
        <w:t>a</w:t>
      </w:r>
      <w:r w:rsidRPr="00220A1F">
        <w:rPr>
          <w:rFonts w:cs="Arial"/>
        </w:rPr>
        <w:t xml:space="preserve">uthorities in a similar position, as to the approach they are taking, and they have confirmed that they are also forecasting the funding to continue, but this will be closely monitored as announcements relating to funding are to be made imminently and outcomes will be reflected in future MTFS reports. </w:t>
      </w:r>
    </w:p>
    <w:p w14:paraId="62999378" w14:textId="77777777" w:rsidR="00AB4589" w:rsidRPr="00813473" w:rsidRDefault="00AB4589" w:rsidP="00AB4589">
      <w:pPr>
        <w:tabs>
          <w:tab w:val="left" w:pos="567"/>
          <w:tab w:val="left" w:pos="1134"/>
        </w:tabs>
        <w:spacing w:after="0"/>
        <w:rPr>
          <w:rFonts w:cs="Arial"/>
          <w:highlight w:val="yellow"/>
        </w:rPr>
      </w:pPr>
    </w:p>
    <w:p w14:paraId="38BB5A8E" w14:textId="77777777" w:rsidR="00AB4589" w:rsidRPr="00813473" w:rsidRDefault="00AB4589" w:rsidP="00AB4589">
      <w:pPr>
        <w:tabs>
          <w:tab w:val="left" w:pos="567"/>
          <w:tab w:val="left" w:pos="1134"/>
        </w:tabs>
        <w:spacing w:after="0"/>
        <w:rPr>
          <w:rFonts w:cs="Arial"/>
          <w:b/>
          <w:highlight w:val="yellow"/>
        </w:rPr>
      </w:pPr>
    </w:p>
    <w:p w14:paraId="068DDA66" w14:textId="77777777" w:rsidR="00AB4589" w:rsidRPr="003A40B3" w:rsidRDefault="00AB4589" w:rsidP="00AB4589">
      <w:pPr>
        <w:tabs>
          <w:tab w:val="left" w:pos="567"/>
          <w:tab w:val="left" w:pos="1134"/>
        </w:tabs>
        <w:spacing w:after="0"/>
        <w:rPr>
          <w:rFonts w:cs="Arial"/>
          <w:b/>
        </w:rPr>
      </w:pPr>
      <w:r w:rsidRPr="003A40B3">
        <w:rPr>
          <w:rFonts w:cs="Arial"/>
          <w:b/>
        </w:rPr>
        <w:lastRenderedPageBreak/>
        <w:t xml:space="preserve">5.6 MTFS </w:t>
      </w:r>
      <w:r>
        <w:rPr>
          <w:rFonts w:cs="Arial"/>
          <w:b/>
        </w:rPr>
        <w:t>a</w:t>
      </w:r>
      <w:r w:rsidRPr="003A40B3">
        <w:rPr>
          <w:rFonts w:cs="Arial"/>
          <w:b/>
        </w:rPr>
        <w:t xml:space="preserve">ssumptions and </w:t>
      </w:r>
      <w:r>
        <w:rPr>
          <w:rFonts w:cs="Arial"/>
          <w:b/>
        </w:rPr>
        <w:t>s</w:t>
      </w:r>
      <w:r w:rsidRPr="003A40B3">
        <w:rPr>
          <w:rFonts w:cs="Arial"/>
          <w:b/>
        </w:rPr>
        <w:t xml:space="preserve">cenario </w:t>
      </w:r>
      <w:r>
        <w:rPr>
          <w:rFonts w:cs="Arial"/>
          <w:b/>
        </w:rPr>
        <w:t>a</w:t>
      </w:r>
      <w:r w:rsidRPr="003A40B3">
        <w:rPr>
          <w:rFonts w:cs="Arial"/>
          <w:b/>
        </w:rPr>
        <w:t>nalysis</w:t>
      </w:r>
    </w:p>
    <w:p w14:paraId="0B00223F" w14:textId="77777777" w:rsidR="00AB4589" w:rsidRPr="00813473" w:rsidRDefault="00AB4589" w:rsidP="00AB4589">
      <w:pPr>
        <w:tabs>
          <w:tab w:val="left" w:pos="567"/>
          <w:tab w:val="left" w:pos="1134"/>
        </w:tabs>
        <w:spacing w:after="0"/>
        <w:rPr>
          <w:rFonts w:cs="Arial"/>
          <w:b/>
          <w:highlight w:val="yellow"/>
        </w:rPr>
      </w:pPr>
    </w:p>
    <w:p w14:paraId="1F2E7E4A" w14:textId="77777777" w:rsidR="00AB4589" w:rsidRPr="003A40B3" w:rsidRDefault="00AB4589" w:rsidP="00AB4589">
      <w:pPr>
        <w:tabs>
          <w:tab w:val="left" w:pos="567"/>
          <w:tab w:val="left" w:pos="1134"/>
        </w:tabs>
        <w:spacing w:after="0"/>
        <w:rPr>
          <w:rFonts w:cs="Arial"/>
        </w:rPr>
      </w:pPr>
      <w:r>
        <w:rPr>
          <w:rFonts w:cs="Arial"/>
        </w:rPr>
        <w:t xml:space="preserve">Given the uncertainty surrounding the future funding for local government we have tested </w:t>
      </w:r>
      <w:r w:rsidRPr="00220A1F">
        <w:rPr>
          <w:rFonts w:cs="Arial"/>
        </w:rPr>
        <w:t xml:space="preserve">a range of assumptions </w:t>
      </w:r>
      <w:r>
        <w:rPr>
          <w:rFonts w:cs="Arial"/>
        </w:rPr>
        <w:t xml:space="preserve">of funding scenarios </w:t>
      </w:r>
      <w:r w:rsidRPr="003A40B3">
        <w:rPr>
          <w:rFonts w:cs="Arial"/>
        </w:rPr>
        <w:t xml:space="preserve">to assess the level of risk </w:t>
      </w:r>
      <w:r>
        <w:rPr>
          <w:rFonts w:cs="Arial"/>
        </w:rPr>
        <w:t xml:space="preserve">that could result should alternative funding models be </w:t>
      </w:r>
      <w:proofErr w:type="gramStart"/>
      <w:r>
        <w:rPr>
          <w:rFonts w:cs="Arial"/>
        </w:rPr>
        <w:t>implemented.</w:t>
      </w:r>
      <w:proofErr w:type="gramEnd"/>
      <w:r>
        <w:rPr>
          <w:rFonts w:cs="Arial"/>
        </w:rPr>
        <w:t xml:space="preserve"> In producing this MTFS the Corporate Management Team has selected the most likely funding scenario.</w:t>
      </w:r>
      <w:r w:rsidRPr="003A40B3">
        <w:rPr>
          <w:rFonts w:cs="Arial"/>
        </w:rPr>
        <w:t xml:space="preserve"> </w:t>
      </w:r>
    </w:p>
    <w:p w14:paraId="55AFA796" w14:textId="77777777" w:rsidR="00AB4589" w:rsidRPr="003A40B3" w:rsidRDefault="00AB4589" w:rsidP="00AB4589">
      <w:pPr>
        <w:tabs>
          <w:tab w:val="left" w:pos="567"/>
          <w:tab w:val="left" w:pos="1134"/>
        </w:tabs>
        <w:spacing w:after="0"/>
        <w:rPr>
          <w:rFonts w:cs="Arial"/>
        </w:rPr>
      </w:pPr>
    </w:p>
    <w:p w14:paraId="4EBD0301" w14:textId="77777777" w:rsidR="00AB4589" w:rsidRDefault="00AB4589" w:rsidP="00AB4589">
      <w:pPr>
        <w:tabs>
          <w:tab w:val="left" w:pos="567"/>
          <w:tab w:val="left" w:pos="1134"/>
        </w:tabs>
        <w:spacing w:after="0"/>
        <w:rPr>
          <w:rFonts w:cs="Arial"/>
        </w:rPr>
      </w:pPr>
      <w:r w:rsidRPr="003A40B3">
        <w:rPr>
          <w:rFonts w:cs="Arial"/>
        </w:rPr>
        <w:t>The key assumptions that have been analysed and tested relate to the additional social care funding announced by the Chancellor and also the impact of changes to baseline funding (particularly the inclusion of revenue support grant). We have also tested the impact of possible flexibilities in council tax</w:t>
      </w:r>
      <w:r>
        <w:rPr>
          <w:rFonts w:cs="Arial"/>
        </w:rPr>
        <w:t xml:space="preserve"> and in particular the levying of an adult social care precept</w:t>
      </w:r>
      <w:r w:rsidRPr="003A40B3">
        <w:rPr>
          <w:rFonts w:cs="Arial"/>
        </w:rPr>
        <w:t xml:space="preserve">. </w:t>
      </w:r>
    </w:p>
    <w:p w14:paraId="44290B37" w14:textId="77777777" w:rsidR="00AB4589" w:rsidRDefault="00AB4589" w:rsidP="00AB4589">
      <w:pPr>
        <w:tabs>
          <w:tab w:val="left" w:pos="567"/>
          <w:tab w:val="left" w:pos="1134"/>
        </w:tabs>
        <w:spacing w:after="0"/>
        <w:rPr>
          <w:rFonts w:cs="Arial"/>
        </w:rPr>
      </w:pPr>
    </w:p>
    <w:p w14:paraId="75A00C40" w14:textId="77777777" w:rsidR="00AB4589" w:rsidRDefault="00AB4589" w:rsidP="00AB4589">
      <w:pPr>
        <w:tabs>
          <w:tab w:val="left" w:pos="567"/>
          <w:tab w:val="left" w:pos="1134"/>
        </w:tabs>
        <w:spacing w:after="0"/>
        <w:rPr>
          <w:rFonts w:cs="Arial"/>
        </w:rPr>
      </w:pPr>
      <w:r>
        <w:rPr>
          <w:rFonts w:cs="Arial"/>
        </w:rPr>
        <w:t xml:space="preserve">The scenarios tested are as per Table 9 below. </w:t>
      </w:r>
    </w:p>
    <w:p w14:paraId="1802FA33" w14:textId="77777777" w:rsidR="00AB4589" w:rsidRDefault="00AB4589" w:rsidP="00AB4589">
      <w:pPr>
        <w:tabs>
          <w:tab w:val="left" w:pos="567"/>
          <w:tab w:val="left" w:pos="1134"/>
        </w:tabs>
        <w:spacing w:after="0"/>
        <w:rPr>
          <w:rFonts w:cs="Arial"/>
        </w:rPr>
      </w:pPr>
    </w:p>
    <w:p w14:paraId="45452F40" w14:textId="77777777" w:rsidR="00AB4589" w:rsidRDefault="00AB4589" w:rsidP="00AB4589">
      <w:pPr>
        <w:tabs>
          <w:tab w:val="left" w:pos="567"/>
          <w:tab w:val="left" w:pos="1134"/>
        </w:tabs>
        <w:spacing w:after="0"/>
        <w:rPr>
          <w:rFonts w:cs="Arial"/>
        </w:rPr>
      </w:pPr>
      <w:r>
        <w:rPr>
          <w:rFonts w:cs="Arial"/>
        </w:rPr>
        <w:t>The worst case (scenario 1) forecasts a cumulative budget gap of £85.915m by 2023/24. In this scenario there would only be sufficient reserve funding to support the structural deficit during 2022/23 but only partway through 2023/24.</w:t>
      </w:r>
    </w:p>
    <w:p w14:paraId="0A3270FC" w14:textId="77777777" w:rsidR="00AB4589" w:rsidRDefault="00AB4589" w:rsidP="00AB4589">
      <w:pPr>
        <w:tabs>
          <w:tab w:val="left" w:pos="567"/>
          <w:tab w:val="left" w:pos="1134"/>
        </w:tabs>
        <w:spacing w:after="0"/>
        <w:rPr>
          <w:rFonts w:cs="Arial"/>
        </w:rPr>
      </w:pPr>
    </w:p>
    <w:p w14:paraId="4C253901" w14:textId="77777777" w:rsidR="00AB4589" w:rsidRDefault="00AB4589" w:rsidP="00AB4589">
      <w:pPr>
        <w:tabs>
          <w:tab w:val="left" w:pos="567"/>
          <w:tab w:val="left" w:pos="1134"/>
        </w:tabs>
        <w:spacing w:after="0"/>
        <w:rPr>
          <w:rFonts w:cs="Arial"/>
        </w:rPr>
      </w:pPr>
      <w:r>
        <w:rPr>
          <w:rFonts w:cs="Arial"/>
        </w:rPr>
        <w:t>In the best case (Scenario 6) showing a forecast cumulative "surplus" for the period of £6.530m, there would be no overall call on reserves.</w:t>
      </w:r>
    </w:p>
    <w:p w14:paraId="4B08C3D0" w14:textId="77777777" w:rsidR="00AB4589" w:rsidRDefault="00AB4589" w:rsidP="00AB4589">
      <w:pPr>
        <w:tabs>
          <w:tab w:val="left" w:pos="567"/>
          <w:tab w:val="left" w:pos="1134"/>
        </w:tabs>
        <w:spacing w:after="0"/>
        <w:rPr>
          <w:rFonts w:cs="Arial"/>
        </w:rPr>
      </w:pPr>
    </w:p>
    <w:p w14:paraId="2A4CE458" w14:textId="77777777" w:rsidR="00AB4589" w:rsidRDefault="00AB4589" w:rsidP="00AB4589">
      <w:pPr>
        <w:tabs>
          <w:tab w:val="left" w:pos="567"/>
          <w:tab w:val="left" w:pos="1134"/>
        </w:tabs>
        <w:spacing w:after="0"/>
        <w:rPr>
          <w:rFonts w:cs="Arial"/>
        </w:rPr>
      </w:pPr>
      <w:r>
        <w:rPr>
          <w:rFonts w:cs="Arial"/>
        </w:rPr>
        <w:t>The most likely scenario which has been adopted for this MTFS is scenario 7, with a forecast budget gap of £28.438m by 2023/24. In this scenario there would be a net call on reserves of £34.975m over the forecast period, but this would leave retained reserves to support the organisation beyond 2023/24 of £115.383m</w:t>
      </w:r>
    </w:p>
    <w:p w14:paraId="62E0DF61" w14:textId="77777777" w:rsidR="00AB4589" w:rsidRDefault="00AB4589" w:rsidP="00AB4589">
      <w:pPr>
        <w:tabs>
          <w:tab w:val="left" w:pos="567"/>
          <w:tab w:val="left" w:pos="1134"/>
        </w:tabs>
        <w:spacing w:after="0"/>
        <w:rPr>
          <w:rFonts w:cs="Arial"/>
        </w:rPr>
      </w:pPr>
    </w:p>
    <w:p w14:paraId="67E67D27" w14:textId="77777777" w:rsidR="00AB4589" w:rsidRDefault="00AB4589" w:rsidP="00AB4589">
      <w:pPr>
        <w:tabs>
          <w:tab w:val="left" w:pos="567"/>
          <w:tab w:val="left" w:pos="1134"/>
        </w:tabs>
        <w:spacing w:after="0"/>
        <w:rPr>
          <w:rFonts w:cs="Arial"/>
        </w:rPr>
      </w:pPr>
    </w:p>
    <w:p w14:paraId="105C371C" w14:textId="77777777" w:rsidR="00AB4589" w:rsidRDefault="00AB4589" w:rsidP="00AB4589">
      <w:pPr>
        <w:tabs>
          <w:tab w:val="left" w:pos="567"/>
          <w:tab w:val="left" w:pos="1134"/>
        </w:tabs>
        <w:spacing w:after="0"/>
        <w:rPr>
          <w:rFonts w:cs="Arial"/>
        </w:rPr>
      </w:pPr>
    </w:p>
    <w:p w14:paraId="3CBADCE7" w14:textId="77777777" w:rsidR="00AB4589" w:rsidRDefault="00AB4589" w:rsidP="00AB4589">
      <w:pPr>
        <w:tabs>
          <w:tab w:val="left" w:pos="567"/>
          <w:tab w:val="left" w:pos="1134"/>
        </w:tabs>
        <w:spacing w:after="0"/>
        <w:rPr>
          <w:rFonts w:cs="Arial"/>
        </w:rPr>
      </w:pPr>
    </w:p>
    <w:p w14:paraId="67B95871" w14:textId="77777777" w:rsidR="00AB4589" w:rsidRDefault="00AB4589" w:rsidP="00AB4589">
      <w:pPr>
        <w:tabs>
          <w:tab w:val="left" w:pos="567"/>
          <w:tab w:val="left" w:pos="1134"/>
        </w:tabs>
        <w:spacing w:after="0"/>
        <w:rPr>
          <w:rFonts w:cs="Arial"/>
        </w:rPr>
      </w:pPr>
    </w:p>
    <w:p w14:paraId="4C82CEAD" w14:textId="77777777" w:rsidR="00AB4589" w:rsidRDefault="00AB4589" w:rsidP="00AB4589">
      <w:pPr>
        <w:tabs>
          <w:tab w:val="left" w:pos="567"/>
          <w:tab w:val="left" w:pos="1134"/>
        </w:tabs>
        <w:spacing w:after="0"/>
        <w:rPr>
          <w:rFonts w:cs="Arial"/>
        </w:rPr>
      </w:pPr>
    </w:p>
    <w:p w14:paraId="513FA4B4" w14:textId="77777777" w:rsidR="00AB4589" w:rsidRDefault="00AB4589" w:rsidP="00AB4589">
      <w:pPr>
        <w:tabs>
          <w:tab w:val="left" w:pos="567"/>
          <w:tab w:val="left" w:pos="1134"/>
        </w:tabs>
        <w:spacing w:after="0"/>
        <w:rPr>
          <w:rFonts w:cs="Arial"/>
        </w:rPr>
      </w:pPr>
    </w:p>
    <w:p w14:paraId="119E6FC6" w14:textId="77777777" w:rsidR="00AB4589" w:rsidRDefault="00AB4589" w:rsidP="00AB4589">
      <w:pPr>
        <w:tabs>
          <w:tab w:val="left" w:pos="567"/>
          <w:tab w:val="left" w:pos="1134"/>
        </w:tabs>
        <w:spacing w:after="0"/>
        <w:rPr>
          <w:rFonts w:cs="Arial"/>
        </w:rPr>
      </w:pPr>
    </w:p>
    <w:p w14:paraId="0632C55E" w14:textId="77777777" w:rsidR="00AB4589" w:rsidRDefault="00AB4589" w:rsidP="00AB4589">
      <w:pPr>
        <w:tabs>
          <w:tab w:val="left" w:pos="567"/>
          <w:tab w:val="left" w:pos="1134"/>
        </w:tabs>
        <w:spacing w:after="0"/>
        <w:rPr>
          <w:rFonts w:cs="Arial"/>
        </w:rPr>
      </w:pPr>
    </w:p>
    <w:p w14:paraId="64CA50BB" w14:textId="77777777" w:rsidR="00AB4589" w:rsidRDefault="00AB4589" w:rsidP="00AB4589">
      <w:pPr>
        <w:tabs>
          <w:tab w:val="left" w:pos="567"/>
          <w:tab w:val="left" w:pos="1134"/>
        </w:tabs>
        <w:spacing w:after="0"/>
        <w:rPr>
          <w:rFonts w:cs="Arial"/>
        </w:rPr>
      </w:pPr>
    </w:p>
    <w:p w14:paraId="40880EDE" w14:textId="77777777" w:rsidR="00AB4589" w:rsidRDefault="00AB4589" w:rsidP="00AB4589">
      <w:pPr>
        <w:tabs>
          <w:tab w:val="left" w:pos="567"/>
          <w:tab w:val="left" w:pos="1134"/>
        </w:tabs>
        <w:spacing w:after="0"/>
        <w:rPr>
          <w:rFonts w:cs="Arial"/>
        </w:rPr>
      </w:pPr>
    </w:p>
    <w:p w14:paraId="3EAF3AEF" w14:textId="77777777" w:rsidR="00AB4589" w:rsidRDefault="00AB4589" w:rsidP="00AB4589">
      <w:pPr>
        <w:tabs>
          <w:tab w:val="left" w:pos="567"/>
          <w:tab w:val="left" w:pos="1134"/>
        </w:tabs>
        <w:spacing w:after="0"/>
        <w:rPr>
          <w:rFonts w:cs="Arial"/>
        </w:rPr>
      </w:pPr>
    </w:p>
    <w:p w14:paraId="6374A5F5" w14:textId="77777777" w:rsidR="00AB4589" w:rsidRDefault="00AB4589" w:rsidP="00AB4589">
      <w:pPr>
        <w:tabs>
          <w:tab w:val="left" w:pos="567"/>
          <w:tab w:val="left" w:pos="1134"/>
        </w:tabs>
        <w:spacing w:after="0"/>
        <w:rPr>
          <w:rFonts w:cs="Arial"/>
        </w:rPr>
      </w:pPr>
    </w:p>
    <w:p w14:paraId="0D0F9E9E" w14:textId="77777777" w:rsidR="00AB4589" w:rsidRDefault="00AB4589" w:rsidP="00AB4589">
      <w:pPr>
        <w:tabs>
          <w:tab w:val="left" w:pos="567"/>
          <w:tab w:val="left" w:pos="1134"/>
        </w:tabs>
        <w:spacing w:after="0"/>
        <w:rPr>
          <w:rFonts w:cs="Arial"/>
        </w:rPr>
      </w:pPr>
    </w:p>
    <w:p w14:paraId="2B44DB7B" w14:textId="77777777" w:rsidR="00AB4589" w:rsidRDefault="00AB4589" w:rsidP="00AB4589">
      <w:pPr>
        <w:tabs>
          <w:tab w:val="left" w:pos="567"/>
          <w:tab w:val="left" w:pos="1134"/>
        </w:tabs>
        <w:spacing w:after="0"/>
        <w:rPr>
          <w:rFonts w:cs="Arial"/>
        </w:rPr>
      </w:pPr>
    </w:p>
    <w:p w14:paraId="0BA4CD7C" w14:textId="77777777" w:rsidR="00AB4589" w:rsidRDefault="00AB4589" w:rsidP="00AB4589">
      <w:pPr>
        <w:tabs>
          <w:tab w:val="left" w:pos="567"/>
          <w:tab w:val="left" w:pos="1134"/>
        </w:tabs>
        <w:spacing w:after="0"/>
        <w:rPr>
          <w:rFonts w:cs="Arial"/>
        </w:rPr>
      </w:pPr>
    </w:p>
    <w:p w14:paraId="4C6BD2AE" w14:textId="77777777" w:rsidR="00AB4589" w:rsidRDefault="00AB4589" w:rsidP="00AB4589">
      <w:pPr>
        <w:tabs>
          <w:tab w:val="left" w:pos="567"/>
          <w:tab w:val="left" w:pos="1134"/>
        </w:tabs>
        <w:spacing w:after="0"/>
        <w:rPr>
          <w:rFonts w:cs="Arial"/>
        </w:rPr>
      </w:pPr>
    </w:p>
    <w:p w14:paraId="5F7E45BC" w14:textId="77777777" w:rsidR="00AB4589" w:rsidRDefault="00AB4589" w:rsidP="00AB4589">
      <w:pPr>
        <w:tabs>
          <w:tab w:val="left" w:pos="567"/>
          <w:tab w:val="left" w:pos="1134"/>
        </w:tabs>
        <w:spacing w:after="0"/>
        <w:rPr>
          <w:rFonts w:cs="Arial"/>
        </w:rPr>
      </w:pPr>
    </w:p>
    <w:p w14:paraId="0A46260D" w14:textId="77777777" w:rsidR="00AB4589" w:rsidRDefault="00AB4589" w:rsidP="00AB4589">
      <w:pPr>
        <w:tabs>
          <w:tab w:val="left" w:pos="567"/>
          <w:tab w:val="left" w:pos="1134"/>
        </w:tabs>
        <w:spacing w:after="0"/>
        <w:rPr>
          <w:rFonts w:cs="Arial"/>
        </w:rPr>
      </w:pPr>
    </w:p>
    <w:p w14:paraId="402E71A7" w14:textId="77777777" w:rsidR="00AB4589" w:rsidRDefault="00AB4589" w:rsidP="00AB4589">
      <w:pPr>
        <w:tabs>
          <w:tab w:val="left" w:pos="567"/>
          <w:tab w:val="left" w:pos="1134"/>
        </w:tabs>
        <w:spacing w:after="0"/>
        <w:rPr>
          <w:rFonts w:cs="Arial"/>
        </w:rPr>
      </w:pPr>
    </w:p>
    <w:p w14:paraId="50CADE98" w14:textId="77777777" w:rsidR="00AB4589" w:rsidRDefault="00AB4589" w:rsidP="00AB4589">
      <w:pPr>
        <w:tabs>
          <w:tab w:val="left" w:pos="567"/>
          <w:tab w:val="left" w:pos="1134"/>
        </w:tabs>
        <w:spacing w:after="0"/>
        <w:rPr>
          <w:rFonts w:cs="Arial"/>
        </w:rPr>
      </w:pPr>
    </w:p>
    <w:p w14:paraId="11CA5FA3" w14:textId="3E2D744E" w:rsidR="00AB4589" w:rsidRDefault="00AB4589" w:rsidP="00AB4589">
      <w:pPr>
        <w:tabs>
          <w:tab w:val="left" w:pos="567"/>
          <w:tab w:val="left" w:pos="1134"/>
        </w:tabs>
        <w:spacing w:after="0"/>
        <w:rPr>
          <w:rFonts w:cs="Arial"/>
        </w:rPr>
      </w:pPr>
    </w:p>
    <w:p w14:paraId="70D3AB7A" w14:textId="77777777" w:rsidR="00C94B79" w:rsidRDefault="00C94B79" w:rsidP="00AB4589">
      <w:pPr>
        <w:tabs>
          <w:tab w:val="left" w:pos="567"/>
          <w:tab w:val="left" w:pos="1134"/>
        </w:tabs>
        <w:spacing w:after="0"/>
        <w:rPr>
          <w:rFonts w:cs="Arial"/>
        </w:rPr>
      </w:pPr>
    </w:p>
    <w:p w14:paraId="1BC3B1B4" w14:textId="77777777" w:rsidR="00AB4589" w:rsidRDefault="00AB4589" w:rsidP="00AB4589">
      <w:pPr>
        <w:tabs>
          <w:tab w:val="left" w:pos="567"/>
          <w:tab w:val="left" w:pos="1134"/>
        </w:tabs>
        <w:spacing w:after="0"/>
        <w:rPr>
          <w:rFonts w:cs="Arial"/>
        </w:rPr>
      </w:pPr>
    </w:p>
    <w:p w14:paraId="3D8516CA" w14:textId="77777777" w:rsidR="00AB4589" w:rsidRPr="003A40B3" w:rsidRDefault="00AB4589" w:rsidP="00AB4589">
      <w:pPr>
        <w:tabs>
          <w:tab w:val="left" w:pos="567"/>
          <w:tab w:val="left" w:pos="1134"/>
        </w:tabs>
        <w:spacing w:after="0"/>
        <w:rPr>
          <w:rFonts w:cs="Arial"/>
          <w:b/>
          <w:i/>
          <w:u w:val="single"/>
        </w:rPr>
      </w:pPr>
      <w:r>
        <w:rPr>
          <w:rFonts w:cs="Arial"/>
          <w:b/>
          <w:i/>
          <w:u w:val="single"/>
        </w:rPr>
        <w:lastRenderedPageBreak/>
        <w:t>Table 9</w:t>
      </w:r>
    </w:p>
    <w:p w14:paraId="35C81967" w14:textId="77777777" w:rsidR="00AB4589" w:rsidRDefault="00AB4589" w:rsidP="00AB4589">
      <w:pPr>
        <w:tabs>
          <w:tab w:val="left" w:pos="567"/>
          <w:tab w:val="left" w:pos="1134"/>
        </w:tabs>
        <w:spacing w:after="0"/>
        <w:rPr>
          <w:rFonts w:cs="Arial"/>
        </w:rPr>
      </w:pPr>
    </w:p>
    <w:tbl>
      <w:tblPr>
        <w:tblW w:w="8080" w:type="dxa"/>
        <w:tblLook w:val="04A0" w:firstRow="1" w:lastRow="0" w:firstColumn="1" w:lastColumn="0" w:noHBand="0" w:noVBand="1"/>
      </w:tblPr>
      <w:tblGrid>
        <w:gridCol w:w="2020"/>
        <w:gridCol w:w="2020"/>
        <w:gridCol w:w="2020"/>
        <w:gridCol w:w="2020"/>
      </w:tblGrid>
      <w:tr w:rsidR="0015230B" w14:paraId="06738A8D" w14:textId="77777777" w:rsidTr="00AB4589">
        <w:trPr>
          <w:trHeight w:val="915"/>
        </w:trPr>
        <w:tc>
          <w:tcPr>
            <w:tcW w:w="20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8834BF9"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Scenario</w:t>
            </w:r>
          </w:p>
        </w:tc>
        <w:tc>
          <w:tcPr>
            <w:tcW w:w="2020" w:type="dxa"/>
            <w:tcBorders>
              <w:top w:val="single" w:sz="8" w:space="0" w:color="auto"/>
              <w:left w:val="nil"/>
              <w:bottom w:val="single" w:sz="8" w:space="0" w:color="auto"/>
              <w:right w:val="single" w:sz="4" w:space="0" w:color="auto"/>
            </w:tcBorders>
            <w:shd w:val="clear" w:color="000000" w:fill="D9D9D9"/>
            <w:vAlign w:val="center"/>
            <w:hideMark/>
          </w:tcPr>
          <w:p w14:paraId="40067B34"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Revenue Support Grant</w:t>
            </w:r>
          </w:p>
        </w:tc>
        <w:tc>
          <w:tcPr>
            <w:tcW w:w="2020" w:type="dxa"/>
            <w:tcBorders>
              <w:top w:val="single" w:sz="8" w:space="0" w:color="auto"/>
              <w:left w:val="nil"/>
              <w:bottom w:val="single" w:sz="8" w:space="0" w:color="auto"/>
              <w:right w:val="single" w:sz="4" w:space="0" w:color="auto"/>
            </w:tcBorders>
            <w:shd w:val="clear" w:color="000000" w:fill="D9D9D9"/>
            <w:vAlign w:val="center"/>
            <w:hideMark/>
          </w:tcPr>
          <w:p w14:paraId="53B15B5F"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Adult Social Care Precept</w:t>
            </w:r>
          </w:p>
        </w:tc>
        <w:tc>
          <w:tcPr>
            <w:tcW w:w="2020" w:type="dxa"/>
            <w:tcBorders>
              <w:top w:val="single" w:sz="8" w:space="0" w:color="auto"/>
              <w:left w:val="nil"/>
              <w:bottom w:val="single" w:sz="8" w:space="0" w:color="auto"/>
              <w:right w:val="single" w:sz="8" w:space="0" w:color="auto"/>
            </w:tcBorders>
            <w:shd w:val="clear" w:color="000000" w:fill="D9D9D9"/>
            <w:vAlign w:val="center"/>
            <w:hideMark/>
          </w:tcPr>
          <w:p w14:paraId="560B316A"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Social Care Grant announced in SR2019</w:t>
            </w:r>
          </w:p>
        </w:tc>
      </w:tr>
      <w:tr w:rsidR="0015230B" w14:paraId="2911A6E7" w14:textId="77777777" w:rsidTr="00AB4589">
        <w:trPr>
          <w:trHeight w:val="900"/>
        </w:trPr>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1996EAF0" w14:textId="77777777" w:rsidR="00AB4589" w:rsidRPr="009F435C" w:rsidRDefault="00AB4589" w:rsidP="00AB4589">
            <w:pPr>
              <w:autoSpaceDE/>
              <w:autoSpaceDN/>
              <w:adjustRightInd/>
              <w:spacing w:after="0"/>
              <w:jc w:val="left"/>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Scenario 1</w:t>
            </w:r>
            <w:r>
              <w:rPr>
                <w:rFonts w:ascii="Calibri" w:eastAsia="Times New Roman" w:hAnsi="Calibri" w:cs="Calibri"/>
                <w:sz w:val="22"/>
                <w:szCs w:val="22"/>
                <w:lang w:eastAsia="en-GB"/>
              </w:rPr>
              <w:t xml:space="preserve"> (Worst Case</w:t>
            </w:r>
          </w:p>
        </w:tc>
        <w:tc>
          <w:tcPr>
            <w:tcW w:w="2020" w:type="dxa"/>
            <w:tcBorders>
              <w:top w:val="nil"/>
              <w:left w:val="nil"/>
              <w:bottom w:val="single" w:sz="4" w:space="0" w:color="auto"/>
              <w:right w:val="single" w:sz="4" w:space="0" w:color="auto"/>
            </w:tcBorders>
            <w:shd w:val="clear" w:color="auto" w:fill="auto"/>
            <w:vAlign w:val="center"/>
            <w:hideMark/>
          </w:tcPr>
          <w:p w14:paraId="4DBFB701"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Included for 2020-21 only</w:t>
            </w:r>
          </w:p>
        </w:tc>
        <w:tc>
          <w:tcPr>
            <w:tcW w:w="2020" w:type="dxa"/>
            <w:tcBorders>
              <w:top w:val="nil"/>
              <w:left w:val="nil"/>
              <w:bottom w:val="single" w:sz="4" w:space="0" w:color="auto"/>
              <w:right w:val="single" w:sz="4" w:space="0" w:color="auto"/>
            </w:tcBorders>
            <w:shd w:val="clear" w:color="auto" w:fill="auto"/>
            <w:vAlign w:val="center"/>
            <w:hideMark/>
          </w:tcPr>
          <w:p w14:paraId="4EDC7595"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2% for 2020-21 only</w:t>
            </w:r>
          </w:p>
        </w:tc>
        <w:tc>
          <w:tcPr>
            <w:tcW w:w="2020" w:type="dxa"/>
            <w:tcBorders>
              <w:top w:val="nil"/>
              <w:left w:val="nil"/>
              <w:bottom w:val="single" w:sz="4" w:space="0" w:color="auto"/>
              <w:right w:val="single" w:sz="8" w:space="0" w:color="auto"/>
            </w:tcBorders>
            <w:shd w:val="clear" w:color="auto" w:fill="auto"/>
            <w:vAlign w:val="center"/>
            <w:hideMark/>
          </w:tcPr>
          <w:p w14:paraId="7A97B542"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Included for 2020-21 only</w:t>
            </w:r>
          </w:p>
        </w:tc>
      </w:tr>
      <w:tr w:rsidR="0015230B" w14:paraId="59B55A2D" w14:textId="77777777" w:rsidTr="00AB4589">
        <w:trPr>
          <w:trHeight w:val="900"/>
        </w:trPr>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253CC48F" w14:textId="77777777" w:rsidR="00AB4589" w:rsidRPr="009F435C" w:rsidRDefault="00AB4589" w:rsidP="00AB4589">
            <w:pPr>
              <w:autoSpaceDE/>
              <w:autoSpaceDN/>
              <w:adjustRightInd/>
              <w:spacing w:after="0"/>
              <w:jc w:val="left"/>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Scenario 2</w:t>
            </w:r>
          </w:p>
        </w:tc>
        <w:tc>
          <w:tcPr>
            <w:tcW w:w="2020" w:type="dxa"/>
            <w:tcBorders>
              <w:top w:val="nil"/>
              <w:left w:val="nil"/>
              <w:bottom w:val="single" w:sz="4" w:space="0" w:color="auto"/>
              <w:right w:val="single" w:sz="4" w:space="0" w:color="auto"/>
            </w:tcBorders>
            <w:shd w:val="clear" w:color="auto" w:fill="auto"/>
            <w:vAlign w:val="center"/>
            <w:hideMark/>
          </w:tcPr>
          <w:p w14:paraId="274D7738"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Included for 2020-21 only</w:t>
            </w:r>
          </w:p>
        </w:tc>
        <w:tc>
          <w:tcPr>
            <w:tcW w:w="2020" w:type="dxa"/>
            <w:tcBorders>
              <w:top w:val="nil"/>
              <w:left w:val="nil"/>
              <w:bottom w:val="single" w:sz="4" w:space="0" w:color="auto"/>
              <w:right w:val="single" w:sz="4" w:space="0" w:color="auto"/>
            </w:tcBorders>
            <w:shd w:val="clear" w:color="auto" w:fill="auto"/>
            <w:noWrap/>
            <w:vAlign w:val="center"/>
            <w:hideMark/>
          </w:tcPr>
          <w:p w14:paraId="61E36DF1"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2% ongoing</w:t>
            </w:r>
          </w:p>
        </w:tc>
        <w:tc>
          <w:tcPr>
            <w:tcW w:w="2020" w:type="dxa"/>
            <w:tcBorders>
              <w:top w:val="nil"/>
              <w:left w:val="nil"/>
              <w:bottom w:val="single" w:sz="4" w:space="0" w:color="auto"/>
              <w:right w:val="single" w:sz="8" w:space="0" w:color="auto"/>
            </w:tcBorders>
            <w:shd w:val="clear" w:color="auto" w:fill="auto"/>
            <w:vAlign w:val="center"/>
            <w:hideMark/>
          </w:tcPr>
          <w:p w14:paraId="6CFDA524"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Included for 2020-21 only</w:t>
            </w:r>
          </w:p>
        </w:tc>
      </w:tr>
      <w:tr w:rsidR="0015230B" w14:paraId="3DF0242A" w14:textId="77777777" w:rsidTr="00AB4589">
        <w:trPr>
          <w:trHeight w:val="900"/>
        </w:trPr>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1D51532E" w14:textId="77777777" w:rsidR="00AB4589" w:rsidRPr="009F435C" w:rsidRDefault="00AB4589" w:rsidP="00AB4589">
            <w:pPr>
              <w:autoSpaceDE/>
              <w:autoSpaceDN/>
              <w:adjustRightInd/>
              <w:spacing w:after="0"/>
              <w:jc w:val="left"/>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Scenario 3</w:t>
            </w:r>
          </w:p>
        </w:tc>
        <w:tc>
          <w:tcPr>
            <w:tcW w:w="2020" w:type="dxa"/>
            <w:tcBorders>
              <w:top w:val="nil"/>
              <w:left w:val="nil"/>
              <w:bottom w:val="single" w:sz="4" w:space="0" w:color="auto"/>
              <w:right w:val="single" w:sz="4" w:space="0" w:color="auto"/>
            </w:tcBorders>
            <w:shd w:val="clear" w:color="auto" w:fill="auto"/>
            <w:vAlign w:val="center"/>
            <w:hideMark/>
          </w:tcPr>
          <w:p w14:paraId="53F0D597"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Included for 2020-21 only</w:t>
            </w:r>
          </w:p>
        </w:tc>
        <w:tc>
          <w:tcPr>
            <w:tcW w:w="2020" w:type="dxa"/>
            <w:tcBorders>
              <w:top w:val="nil"/>
              <w:left w:val="nil"/>
              <w:bottom w:val="single" w:sz="4" w:space="0" w:color="auto"/>
              <w:right w:val="single" w:sz="4" w:space="0" w:color="auto"/>
            </w:tcBorders>
            <w:shd w:val="clear" w:color="auto" w:fill="auto"/>
            <w:vAlign w:val="center"/>
            <w:hideMark/>
          </w:tcPr>
          <w:p w14:paraId="593EDF71"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2% for 2020-21 only</w:t>
            </w:r>
          </w:p>
        </w:tc>
        <w:tc>
          <w:tcPr>
            <w:tcW w:w="2020" w:type="dxa"/>
            <w:tcBorders>
              <w:top w:val="nil"/>
              <w:left w:val="nil"/>
              <w:bottom w:val="single" w:sz="4" w:space="0" w:color="auto"/>
              <w:right w:val="single" w:sz="8" w:space="0" w:color="auto"/>
            </w:tcBorders>
            <w:shd w:val="clear" w:color="auto" w:fill="auto"/>
            <w:vAlign w:val="center"/>
            <w:hideMark/>
          </w:tcPr>
          <w:p w14:paraId="5C0EC6DE"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Included for the entire MTFS period</w:t>
            </w:r>
          </w:p>
        </w:tc>
      </w:tr>
      <w:tr w:rsidR="0015230B" w14:paraId="15F3E72A" w14:textId="77777777" w:rsidTr="00AB4589">
        <w:trPr>
          <w:trHeight w:val="900"/>
        </w:trPr>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40A84037" w14:textId="77777777" w:rsidR="00AB4589" w:rsidRPr="009F435C" w:rsidRDefault="00AB4589" w:rsidP="00AB4589">
            <w:pPr>
              <w:autoSpaceDE/>
              <w:autoSpaceDN/>
              <w:adjustRightInd/>
              <w:spacing w:after="0"/>
              <w:jc w:val="left"/>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Scenario 4</w:t>
            </w:r>
          </w:p>
        </w:tc>
        <w:tc>
          <w:tcPr>
            <w:tcW w:w="2020" w:type="dxa"/>
            <w:tcBorders>
              <w:top w:val="nil"/>
              <w:left w:val="nil"/>
              <w:bottom w:val="single" w:sz="4" w:space="0" w:color="auto"/>
              <w:right w:val="single" w:sz="4" w:space="0" w:color="auto"/>
            </w:tcBorders>
            <w:shd w:val="clear" w:color="auto" w:fill="auto"/>
            <w:vAlign w:val="center"/>
            <w:hideMark/>
          </w:tcPr>
          <w:p w14:paraId="11B45979"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Included for the entire MTFS period</w:t>
            </w:r>
          </w:p>
        </w:tc>
        <w:tc>
          <w:tcPr>
            <w:tcW w:w="2020" w:type="dxa"/>
            <w:tcBorders>
              <w:top w:val="nil"/>
              <w:left w:val="nil"/>
              <w:bottom w:val="single" w:sz="4" w:space="0" w:color="auto"/>
              <w:right w:val="single" w:sz="4" w:space="0" w:color="auto"/>
            </w:tcBorders>
            <w:shd w:val="clear" w:color="auto" w:fill="auto"/>
            <w:vAlign w:val="center"/>
            <w:hideMark/>
          </w:tcPr>
          <w:p w14:paraId="4ED9221D"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2% for 2020-21 only</w:t>
            </w:r>
          </w:p>
        </w:tc>
        <w:tc>
          <w:tcPr>
            <w:tcW w:w="2020" w:type="dxa"/>
            <w:tcBorders>
              <w:top w:val="nil"/>
              <w:left w:val="nil"/>
              <w:bottom w:val="single" w:sz="4" w:space="0" w:color="auto"/>
              <w:right w:val="single" w:sz="8" w:space="0" w:color="auto"/>
            </w:tcBorders>
            <w:shd w:val="clear" w:color="auto" w:fill="auto"/>
            <w:vAlign w:val="center"/>
            <w:hideMark/>
          </w:tcPr>
          <w:p w14:paraId="7AFEA459"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Included for 2020-21 only</w:t>
            </w:r>
          </w:p>
        </w:tc>
      </w:tr>
      <w:tr w:rsidR="0015230B" w14:paraId="55D17DA8" w14:textId="77777777" w:rsidTr="00AB4589">
        <w:trPr>
          <w:trHeight w:val="900"/>
        </w:trPr>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48F80169" w14:textId="77777777" w:rsidR="00AB4589" w:rsidRPr="009F435C" w:rsidRDefault="00AB4589" w:rsidP="00AB4589">
            <w:pPr>
              <w:autoSpaceDE/>
              <w:autoSpaceDN/>
              <w:adjustRightInd/>
              <w:spacing w:after="0"/>
              <w:jc w:val="left"/>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Scenario 5</w:t>
            </w:r>
          </w:p>
        </w:tc>
        <w:tc>
          <w:tcPr>
            <w:tcW w:w="2020" w:type="dxa"/>
            <w:tcBorders>
              <w:top w:val="nil"/>
              <w:left w:val="nil"/>
              <w:bottom w:val="single" w:sz="4" w:space="0" w:color="auto"/>
              <w:right w:val="single" w:sz="4" w:space="0" w:color="auto"/>
            </w:tcBorders>
            <w:shd w:val="clear" w:color="auto" w:fill="auto"/>
            <w:vAlign w:val="center"/>
            <w:hideMark/>
          </w:tcPr>
          <w:p w14:paraId="6D5AFA19"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Included for 2020-21 only</w:t>
            </w:r>
          </w:p>
        </w:tc>
        <w:tc>
          <w:tcPr>
            <w:tcW w:w="2020" w:type="dxa"/>
            <w:tcBorders>
              <w:top w:val="nil"/>
              <w:left w:val="nil"/>
              <w:bottom w:val="single" w:sz="4" w:space="0" w:color="auto"/>
              <w:right w:val="single" w:sz="4" w:space="0" w:color="auto"/>
            </w:tcBorders>
            <w:shd w:val="clear" w:color="auto" w:fill="auto"/>
            <w:noWrap/>
            <w:vAlign w:val="center"/>
            <w:hideMark/>
          </w:tcPr>
          <w:p w14:paraId="563992EF"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1% Ongoing</w:t>
            </w:r>
          </w:p>
        </w:tc>
        <w:tc>
          <w:tcPr>
            <w:tcW w:w="2020" w:type="dxa"/>
            <w:tcBorders>
              <w:top w:val="nil"/>
              <w:left w:val="nil"/>
              <w:bottom w:val="single" w:sz="4" w:space="0" w:color="auto"/>
              <w:right w:val="single" w:sz="8" w:space="0" w:color="auto"/>
            </w:tcBorders>
            <w:shd w:val="clear" w:color="auto" w:fill="auto"/>
            <w:vAlign w:val="center"/>
            <w:hideMark/>
          </w:tcPr>
          <w:p w14:paraId="79C6AC6B"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Included for 2020-21 only</w:t>
            </w:r>
          </w:p>
        </w:tc>
      </w:tr>
      <w:tr w:rsidR="0015230B" w14:paraId="746C3BDB" w14:textId="77777777" w:rsidTr="00AB4589">
        <w:trPr>
          <w:trHeight w:val="900"/>
        </w:trPr>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60CE6860" w14:textId="77777777" w:rsidR="00AB4589" w:rsidRPr="009F435C" w:rsidRDefault="00AB4589" w:rsidP="00AB4589">
            <w:pPr>
              <w:autoSpaceDE/>
              <w:autoSpaceDN/>
              <w:adjustRightInd/>
              <w:spacing w:after="0"/>
              <w:jc w:val="left"/>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Scenario 6</w:t>
            </w:r>
            <w:r>
              <w:rPr>
                <w:rFonts w:ascii="Calibri" w:eastAsia="Times New Roman" w:hAnsi="Calibri" w:cs="Calibri"/>
                <w:sz w:val="22"/>
                <w:szCs w:val="22"/>
                <w:lang w:eastAsia="en-GB"/>
              </w:rPr>
              <w:t xml:space="preserve"> (Best Case)</w:t>
            </w:r>
          </w:p>
        </w:tc>
        <w:tc>
          <w:tcPr>
            <w:tcW w:w="2020" w:type="dxa"/>
            <w:tcBorders>
              <w:top w:val="nil"/>
              <w:left w:val="nil"/>
              <w:bottom w:val="single" w:sz="4" w:space="0" w:color="auto"/>
              <w:right w:val="single" w:sz="4" w:space="0" w:color="auto"/>
            </w:tcBorders>
            <w:shd w:val="clear" w:color="auto" w:fill="auto"/>
            <w:vAlign w:val="center"/>
            <w:hideMark/>
          </w:tcPr>
          <w:p w14:paraId="69871C9D"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Included for the entire MTFS period</w:t>
            </w:r>
          </w:p>
        </w:tc>
        <w:tc>
          <w:tcPr>
            <w:tcW w:w="2020" w:type="dxa"/>
            <w:tcBorders>
              <w:top w:val="nil"/>
              <w:left w:val="nil"/>
              <w:bottom w:val="single" w:sz="4" w:space="0" w:color="auto"/>
              <w:right w:val="single" w:sz="4" w:space="0" w:color="auto"/>
            </w:tcBorders>
            <w:shd w:val="clear" w:color="auto" w:fill="auto"/>
            <w:noWrap/>
            <w:vAlign w:val="center"/>
            <w:hideMark/>
          </w:tcPr>
          <w:p w14:paraId="7F61A8E5"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2% ongoing</w:t>
            </w:r>
          </w:p>
        </w:tc>
        <w:tc>
          <w:tcPr>
            <w:tcW w:w="2020" w:type="dxa"/>
            <w:tcBorders>
              <w:top w:val="nil"/>
              <w:left w:val="nil"/>
              <w:bottom w:val="single" w:sz="4" w:space="0" w:color="auto"/>
              <w:right w:val="single" w:sz="8" w:space="0" w:color="auto"/>
            </w:tcBorders>
            <w:shd w:val="clear" w:color="auto" w:fill="auto"/>
            <w:vAlign w:val="center"/>
            <w:hideMark/>
          </w:tcPr>
          <w:p w14:paraId="60994EAD"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Included for the entire MTFS period</w:t>
            </w:r>
          </w:p>
        </w:tc>
      </w:tr>
      <w:tr w:rsidR="0015230B" w14:paraId="552F8751" w14:textId="77777777" w:rsidTr="00AB4589">
        <w:trPr>
          <w:trHeight w:val="900"/>
        </w:trPr>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774127CF" w14:textId="77777777" w:rsidR="00AB4589" w:rsidRPr="009F435C" w:rsidRDefault="00AB4589" w:rsidP="00AB4589">
            <w:pPr>
              <w:autoSpaceDE/>
              <w:autoSpaceDN/>
              <w:adjustRightInd/>
              <w:spacing w:after="0"/>
              <w:jc w:val="left"/>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Scenario 7</w:t>
            </w:r>
            <w:r>
              <w:rPr>
                <w:rFonts w:ascii="Calibri" w:eastAsia="Times New Roman" w:hAnsi="Calibri" w:cs="Calibri"/>
                <w:sz w:val="22"/>
                <w:szCs w:val="22"/>
                <w:lang w:eastAsia="en-GB"/>
              </w:rPr>
              <w:t xml:space="preserve"> (Most Likely Case)</w:t>
            </w:r>
          </w:p>
        </w:tc>
        <w:tc>
          <w:tcPr>
            <w:tcW w:w="2020" w:type="dxa"/>
            <w:tcBorders>
              <w:top w:val="nil"/>
              <w:left w:val="nil"/>
              <w:bottom w:val="single" w:sz="4" w:space="0" w:color="auto"/>
              <w:right w:val="single" w:sz="4" w:space="0" w:color="auto"/>
            </w:tcBorders>
            <w:shd w:val="clear" w:color="auto" w:fill="auto"/>
            <w:vAlign w:val="center"/>
            <w:hideMark/>
          </w:tcPr>
          <w:p w14:paraId="19A115BB"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Included for the entire MTFS period</w:t>
            </w:r>
          </w:p>
        </w:tc>
        <w:tc>
          <w:tcPr>
            <w:tcW w:w="2020" w:type="dxa"/>
            <w:tcBorders>
              <w:top w:val="nil"/>
              <w:left w:val="nil"/>
              <w:bottom w:val="single" w:sz="4" w:space="0" w:color="auto"/>
              <w:right w:val="single" w:sz="4" w:space="0" w:color="auto"/>
            </w:tcBorders>
            <w:shd w:val="clear" w:color="auto" w:fill="auto"/>
            <w:vAlign w:val="center"/>
            <w:hideMark/>
          </w:tcPr>
          <w:p w14:paraId="53CB5F34"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2% for 2020-21 only</w:t>
            </w:r>
          </w:p>
        </w:tc>
        <w:tc>
          <w:tcPr>
            <w:tcW w:w="2020" w:type="dxa"/>
            <w:tcBorders>
              <w:top w:val="nil"/>
              <w:left w:val="nil"/>
              <w:bottom w:val="single" w:sz="4" w:space="0" w:color="auto"/>
              <w:right w:val="single" w:sz="8" w:space="0" w:color="auto"/>
            </w:tcBorders>
            <w:shd w:val="clear" w:color="auto" w:fill="auto"/>
            <w:vAlign w:val="center"/>
            <w:hideMark/>
          </w:tcPr>
          <w:p w14:paraId="3C10378A"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Included for the entire MTFS period</w:t>
            </w:r>
          </w:p>
        </w:tc>
      </w:tr>
      <w:tr w:rsidR="0015230B" w14:paraId="43F03A2C" w14:textId="77777777" w:rsidTr="00AB4589">
        <w:trPr>
          <w:trHeight w:val="900"/>
        </w:trPr>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1B6714A1" w14:textId="77777777" w:rsidR="00AB4589" w:rsidRPr="009F435C" w:rsidRDefault="00AB4589" w:rsidP="00AB4589">
            <w:pPr>
              <w:autoSpaceDE/>
              <w:autoSpaceDN/>
              <w:adjustRightInd/>
              <w:spacing w:after="0"/>
              <w:jc w:val="left"/>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Scenario 8</w:t>
            </w:r>
          </w:p>
        </w:tc>
        <w:tc>
          <w:tcPr>
            <w:tcW w:w="2020" w:type="dxa"/>
            <w:tcBorders>
              <w:top w:val="nil"/>
              <w:left w:val="nil"/>
              <w:bottom w:val="single" w:sz="4" w:space="0" w:color="auto"/>
              <w:right w:val="single" w:sz="4" w:space="0" w:color="auto"/>
            </w:tcBorders>
            <w:shd w:val="clear" w:color="auto" w:fill="auto"/>
            <w:vAlign w:val="center"/>
            <w:hideMark/>
          </w:tcPr>
          <w:p w14:paraId="5C8F3509"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Included for the entire MTFS period</w:t>
            </w:r>
          </w:p>
        </w:tc>
        <w:tc>
          <w:tcPr>
            <w:tcW w:w="2020" w:type="dxa"/>
            <w:tcBorders>
              <w:top w:val="nil"/>
              <w:left w:val="nil"/>
              <w:bottom w:val="single" w:sz="4" w:space="0" w:color="auto"/>
              <w:right w:val="single" w:sz="4" w:space="0" w:color="auto"/>
            </w:tcBorders>
            <w:shd w:val="clear" w:color="auto" w:fill="auto"/>
            <w:noWrap/>
            <w:vAlign w:val="center"/>
            <w:hideMark/>
          </w:tcPr>
          <w:p w14:paraId="7CF27E38"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2% ongoing</w:t>
            </w:r>
          </w:p>
        </w:tc>
        <w:tc>
          <w:tcPr>
            <w:tcW w:w="2020" w:type="dxa"/>
            <w:tcBorders>
              <w:top w:val="nil"/>
              <w:left w:val="nil"/>
              <w:bottom w:val="single" w:sz="4" w:space="0" w:color="auto"/>
              <w:right w:val="single" w:sz="8" w:space="0" w:color="auto"/>
            </w:tcBorders>
            <w:shd w:val="clear" w:color="auto" w:fill="auto"/>
            <w:vAlign w:val="center"/>
            <w:hideMark/>
          </w:tcPr>
          <w:p w14:paraId="7DE13662"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Included for 2020-21 only</w:t>
            </w:r>
          </w:p>
        </w:tc>
      </w:tr>
      <w:tr w:rsidR="0015230B" w14:paraId="59F3A299" w14:textId="77777777" w:rsidTr="00AB4589">
        <w:trPr>
          <w:trHeight w:val="900"/>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71F48B77" w14:textId="77777777" w:rsidR="00AB4589" w:rsidRPr="009F435C" w:rsidRDefault="00AB4589" w:rsidP="00AB4589">
            <w:pPr>
              <w:autoSpaceDE/>
              <w:autoSpaceDN/>
              <w:adjustRightInd/>
              <w:spacing w:after="0"/>
              <w:jc w:val="left"/>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Scenario 9</w:t>
            </w:r>
          </w:p>
        </w:tc>
        <w:tc>
          <w:tcPr>
            <w:tcW w:w="2020" w:type="dxa"/>
            <w:tcBorders>
              <w:top w:val="nil"/>
              <w:left w:val="nil"/>
              <w:bottom w:val="single" w:sz="8" w:space="0" w:color="auto"/>
              <w:right w:val="single" w:sz="4" w:space="0" w:color="auto"/>
            </w:tcBorders>
            <w:shd w:val="clear" w:color="auto" w:fill="auto"/>
            <w:vAlign w:val="center"/>
            <w:hideMark/>
          </w:tcPr>
          <w:p w14:paraId="4D973A22"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Included for 2020-21 only</w:t>
            </w:r>
          </w:p>
        </w:tc>
        <w:tc>
          <w:tcPr>
            <w:tcW w:w="2020" w:type="dxa"/>
            <w:tcBorders>
              <w:top w:val="nil"/>
              <w:left w:val="nil"/>
              <w:bottom w:val="single" w:sz="8" w:space="0" w:color="auto"/>
              <w:right w:val="single" w:sz="4" w:space="0" w:color="auto"/>
            </w:tcBorders>
            <w:shd w:val="clear" w:color="auto" w:fill="auto"/>
            <w:noWrap/>
            <w:vAlign w:val="center"/>
            <w:hideMark/>
          </w:tcPr>
          <w:p w14:paraId="3D9E0564"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2% ongoing</w:t>
            </w:r>
          </w:p>
        </w:tc>
        <w:tc>
          <w:tcPr>
            <w:tcW w:w="2020" w:type="dxa"/>
            <w:tcBorders>
              <w:top w:val="nil"/>
              <w:left w:val="nil"/>
              <w:bottom w:val="single" w:sz="8" w:space="0" w:color="auto"/>
              <w:right w:val="single" w:sz="8" w:space="0" w:color="auto"/>
            </w:tcBorders>
            <w:shd w:val="clear" w:color="auto" w:fill="auto"/>
            <w:vAlign w:val="center"/>
            <w:hideMark/>
          </w:tcPr>
          <w:p w14:paraId="72419B67" w14:textId="77777777" w:rsidR="00AB4589" w:rsidRPr="009F435C" w:rsidRDefault="00AB4589" w:rsidP="00AB4589">
            <w:pPr>
              <w:autoSpaceDE/>
              <w:autoSpaceDN/>
              <w:adjustRightInd/>
              <w:spacing w:after="0"/>
              <w:jc w:val="center"/>
              <w:rPr>
                <w:rFonts w:ascii="Calibri" w:eastAsia="Times New Roman" w:hAnsi="Calibri" w:cs="Calibri"/>
                <w:sz w:val="22"/>
                <w:szCs w:val="22"/>
                <w:lang w:eastAsia="en-GB"/>
              </w:rPr>
            </w:pPr>
            <w:r w:rsidRPr="009F435C">
              <w:rPr>
                <w:rFonts w:ascii="Calibri" w:eastAsia="Times New Roman" w:hAnsi="Calibri" w:cs="Calibri"/>
                <w:sz w:val="22"/>
                <w:szCs w:val="22"/>
                <w:lang w:eastAsia="en-GB"/>
              </w:rPr>
              <w:t>Included for the entire MTFS period</w:t>
            </w:r>
          </w:p>
        </w:tc>
      </w:tr>
    </w:tbl>
    <w:p w14:paraId="72B19BE0" w14:textId="77777777" w:rsidR="00AB4589" w:rsidRPr="003A40B3" w:rsidRDefault="00AB4589" w:rsidP="00AB4589">
      <w:pPr>
        <w:tabs>
          <w:tab w:val="left" w:pos="567"/>
          <w:tab w:val="left" w:pos="1134"/>
        </w:tabs>
        <w:spacing w:after="0"/>
        <w:rPr>
          <w:rFonts w:cs="Arial"/>
        </w:rPr>
      </w:pPr>
    </w:p>
    <w:p w14:paraId="22B5C77A" w14:textId="77777777" w:rsidR="00AB4589" w:rsidRPr="003A40B3" w:rsidRDefault="00AB4589" w:rsidP="00AB4589">
      <w:pPr>
        <w:tabs>
          <w:tab w:val="left" w:pos="567"/>
          <w:tab w:val="left" w:pos="1134"/>
        </w:tabs>
        <w:spacing w:after="0"/>
        <w:rPr>
          <w:rFonts w:cs="Arial"/>
        </w:rPr>
      </w:pPr>
      <w:r>
        <w:rPr>
          <w:noProof/>
          <w:lang w:eastAsia="en-GB"/>
        </w:rPr>
        <w:lastRenderedPageBreak/>
        <w:drawing>
          <wp:inline distT="0" distB="0" distL="0" distR="0" wp14:anchorId="071C167A" wp14:editId="5B96FEE4">
            <wp:extent cx="5731510" cy="3890645"/>
            <wp:effectExtent l="0" t="0" r="254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B26AC3" w14:textId="77777777" w:rsidR="00AB4589" w:rsidRPr="00813473" w:rsidRDefault="00AB4589" w:rsidP="00AB4589">
      <w:pPr>
        <w:tabs>
          <w:tab w:val="left" w:pos="567"/>
          <w:tab w:val="left" w:pos="1134"/>
        </w:tabs>
        <w:spacing w:after="0"/>
        <w:ind w:left="142"/>
        <w:rPr>
          <w:rFonts w:cs="Arial"/>
          <w:b/>
          <w:i/>
          <w:highlight w:val="yellow"/>
          <w:u w:val="single"/>
        </w:rPr>
      </w:pPr>
    </w:p>
    <w:p w14:paraId="01B693B5" w14:textId="77777777" w:rsidR="00AB4589" w:rsidRPr="00D310B1" w:rsidRDefault="00AB4589" w:rsidP="00AB4589">
      <w:pPr>
        <w:tabs>
          <w:tab w:val="left" w:pos="567"/>
          <w:tab w:val="left" w:pos="1134"/>
        </w:tabs>
        <w:spacing w:after="0"/>
        <w:ind w:left="142"/>
        <w:rPr>
          <w:rFonts w:cs="Arial"/>
        </w:rPr>
      </w:pPr>
      <w:r w:rsidRPr="00D310B1">
        <w:rPr>
          <w:rFonts w:cs="Arial"/>
        </w:rPr>
        <w:t xml:space="preserve">The scenarios presented clearly demonstrate the significant financial impact resulting from changes to the assumptions included within the MTFS.  In all cases however, the council has sufficient reserves to support the gap through 2022/23 but only partway into 2023/24. The most likely scenario assumed within the MTFS shows that a structural deficit would still remain and reinforces the importance of addressing the underlying cost drivers within the council to secure financial sustainability moving forward.  </w:t>
      </w:r>
    </w:p>
    <w:p w14:paraId="544D4A90" w14:textId="77777777" w:rsidR="00AB4589" w:rsidRPr="00813473" w:rsidRDefault="00AB4589" w:rsidP="00AB4589">
      <w:pPr>
        <w:tabs>
          <w:tab w:val="left" w:pos="567"/>
          <w:tab w:val="left" w:pos="1134"/>
        </w:tabs>
        <w:spacing w:after="0"/>
        <w:ind w:left="142"/>
        <w:rPr>
          <w:rFonts w:cs="Arial"/>
          <w:highlight w:val="yellow"/>
        </w:rPr>
      </w:pPr>
    </w:p>
    <w:p w14:paraId="34325EEA" w14:textId="77777777" w:rsidR="00AB4589" w:rsidRPr="00D310B1" w:rsidRDefault="00AB4589" w:rsidP="00AB4589">
      <w:pPr>
        <w:tabs>
          <w:tab w:val="left" w:pos="567"/>
          <w:tab w:val="left" w:pos="1134"/>
        </w:tabs>
        <w:spacing w:after="0"/>
        <w:ind w:left="142"/>
        <w:rPr>
          <w:rFonts w:cs="Arial"/>
        </w:rPr>
      </w:pPr>
      <w:r w:rsidRPr="00D310B1">
        <w:rPr>
          <w:rFonts w:cs="Arial"/>
        </w:rPr>
        <w:t xml:space="preserve">In addition, the MTFS contains assumptions across services for funding growth, demand, inflation and pay levels. The table below shows the impact of and increase or decrease of 1% over these key elements of the projected budget requirement. </w:t>
      </w:r>
    </w:p>
    <w:p w14:paraId="0B70175E" w14:textId="77777777" w:rsidR="00AB4589" w:rsidRPr="00813473" w:rsidRDefault="00AB4589" w:rsidP="00AB4589">
      <w:pPr>
        <w:tabs>
          <w:tab w:val="left" w:pos="567"/>
          <w:tab w:val="left" w:pos="1134"/>
        </w:tabs>
        <w:spacing w:after="0"/>
        <w:ind w:left="142"/>
        <w:rPr>
          <w:rFonts w:cs="Arial"/>
          <w:highlight w:val="yellow"/>
        </w:rPr>
      </w:pPr>
    </w:p>
    <w:tbl>
      <w:tblPr>
        <w:tblStyle w:val="TableGrid"/>
        <w:tblW w:w="0" w:type="auto"/>
        <w:tblLook w:val="04A0" w:firstRow="1" w:lastRow="0" w:firstColumn="1" w:lastColumn="0" w:noHBand="0" w:noVBand="1"/>
      </w:tblPr>
      <w:tblGrid>
        <w:gridCol w:w="5948"/>
        <w:gridCol w:w="3068"/>
      </w:tblGrid>
      <w:tr w:rsidR="0015230B" w14:paraId="4A51597B" w14:textId="77777777" w:rsidTr="00AB4589">
        <w:tc>
          <w:tcPr>
            <w:tcW w:w="5948" w:type="dxa"/>
          </w:tcPr>
          <w:p w14:paraId="663D3B40" w14:textId="77777777" w:rsidR="00AB4589" w:rsidRPr="00813473" w:rsidRDefault="00AB4589" w:rsidP="00AB4589">
            <w:pPr>
              <w:rPr>
                <w:rFonts w:cs="Arial"/>
                <w:b/>
                <w:highlight w:val="yellow"/>
              </w:rPr>
            </w:pPr>
          </w:p>
        </w:tc>
        <w:tc>
          <w:tcPr>
            <w:tcW w:w="3068" w:type="dxa"/>
          </w:tcPr>
          <w:p w14:paraId="5616F8BD" w14:textId="77777777" w:rsidR="00AB4589" w:rsidRPr="00813473" w:rsidRDefault="00AB4589" w:rsidP="00AB4589">
            <w:pPr>
              <w:jc w:val="center"/>
              <w:rPr>
                <w:rFonts w:cs="Arial"/>
                <w:highlight w:val="yellow"/>
              </w:rPr>
            </w:pPr>
            <w:r w:rsidRPr="00F35F60">
              <w:rPr>
                <w:rFonts w:cs="Arial"/>
              </w:rPr>
              <w:t>Potential Full-Year Impact (£m)</w:t>
            </w:r>
          </w:p>
        </w:tc>
      </w:tr>
      <w:tr w:rsidR="0015230B" w14:paraId="583F4AE0" w14:textId="77777777" w:rsidTr="00AB4589">
        <w:tc>
          <w:tcPr>
            <w:tcW w:w="5948" w:type="dxa"/>
          </w:tcPr>
          <w:p w14:paraId="2DE28FF6" w14:textId="77777777" w:rsidR="00AB4589" w:rsidRPr="00F35F60" w:rsidRDefault="00AB4589" w:rsidP="00AB4589">
            <w:pPr>
              <w:rPr>
                <w:rFonts w:cs="Arial"/>
              </w:rPr>
            </w:pPr>
            <w:r w:rsidRPr="00F35F60">
              <w:rPr>
                <w:rFonts w:cs="Arial"/>
              </w:rPr>
              <w:t>Funding - Council Tax (1%)</w:t>
            </w:r>
          </w:p>
        </w:tc>
        <w:tc>
          <w:tcPr>
            <w:tcW w:w="3068" w:type="dxa"/>
          </w:tcPr>
          <w:p w14:paraId="67B9A6C2" w14:textId="77777777" w:rsidR="00AB4589" w:rsidRPr="00813473" w:rsidRDefault="00AB4589" w:rsidP="00AB4589">
            <w:pPr>
              <w:jc w:val="right"/>
              <w:rPr>
                <w:rFonts w:cs="Arial"/>
                <w:highlight w:val="yellow"/>
              </w:rPr>
            </w:pPr>
            <w:r w:rsidRPr="00F578AA">
              <w:rPr>
                <w:rFonts w:cs="Arial"/>
              </w:rPr>
              <w:t xml:space="preserve"> +/- 5.</w:t>
            </w:r>
            <w:r>
              <w:rPr>
                <w:rFonts w:cs="Arial"/>
              </w:rPr>
              <w:t>2</w:t>
            </w:r>
            <w:r w:rsidRPr="00F578AA">
              <w:rPr>
                <w:rFonts w:cs="Arial"/>
              </w:rPr>
              <w:t>23</w:t>
            </w:r>
          </w:p>
        </w:tc>
      </w:tr>
      <w:tr w:rsidR="0015230B" w14:paraId="2A9CE3FF" w14:textId="77777777" w:rsidTr="00AB4589">
        <w:tc>
          <w:tcPr>
            <w:tcW w:w="5948" w:type="dxa"/>
          </w:tcPr>
          <w:p w14:paraId="0F284A85" w14:textId="77777777" w:rsidR="00AB4589" w:rsidRPr="00F35F60" w:rsidRDefault="00AB4589" w:rsidP="00AB4589">
            <w:pPr>
              <w:rPr>
                <w:rFonts w:cs="Arial"/>
              </w:rPr>
            </w:pPr>
            <w:r w:rsidRPr="00F35F60">
              <w:rPr>
                <w:rFonts w:cs="Arial"/>
              </w:rPr>
              <w:t>Pay (1%)</w:t>
            </w:r>
          </w:p>
        </w:tc>
        <w:tc>
          <w:tcPr>
            <w:tcW w:w="3068" w:type="dxa"/>
          </w:tcPr>
          <w:p w14:paraId="17BF8D50" w14:textId="77777777" w:rsidR="00AB4589" w:rsidRPr="00813473" w:rsidRDefault="00AB4589" w:rsidP="00AB4589">
            <w:pPr>
              <w:jc w:val="right"/>
              <w:rPr>
                <w:rFonts w:cs="Arial"/>
                <w:highlight w:val="yellow"/>
              </w:rPr>
            </w:pPr>
            <w:r w:rsidRPr="00123FA1">
              <w:rPr>
                <w:rFonts w:cs="Arial"/>
              </w:rPr>
              <w:t>+/- 2.758</w:t>
            </w:r>
          </w:p>
        </w:tc>
      </w:tr>
      <w:tr w:rsidR="0015230B" w14:paraId="42606C4A" w14:textId="77777777" w:rsidTr="00AB4589">
        <w:tc>
          <w:tcPr>
            <w:tcW w:w="5948" w:type="dxa"/>
          </w:tcPr>
          <w:p w14:paraId="5FE36E60" w14:textId="77777777" w:rsidR="00AB4589" w:rsidRPr="00F35F60" w:rsidRDefault="00AB4589" w:rsidP="00AB4589">
            <w:pPr>
              <w:rPr>
                <w:rFonts w:cs="Arial"/>
              </w:rPr>
            </w:pPr>
            <w:r w:rsidRPr="00F35F60">
              <w:rPr>
                <w:rFonts w:cs="Arial"/>
              </w:rPr>
              <w:t>Price Inflation (1%)</w:t>
            </w:r>
          </w:p>
        </w:tc>
        <w:tc>
          <w:tcPr>
            <w:tcW w:w="3068" w:type="dxa"/>
          </w:tcPr>
          <w:p w14:paraId="330E3051" w14:textId="77777777" w:rsidR="00AB4589" w:rsidRPr="00813473" w:rsidRDefault="00AB4589" w:rsidP="00AB4589">
            <w:pPr>
              <w:jc w:val="right"/>
              <w:rPr>
                <w:rFonts w:cs="Arial"/>
                <w:highlight w:val="yellow"/>
              </w:rPr>
            </w:pPr>
            <w:r w:rsidRPr="00123FA1">
              <w:rPr>
                <w:rFonts w:cs="Arial"/>
              </w:rPr>
              <w:t>+/- 4.974</w:t>
            </w:r>
          </w:p>
        </w:tc>
      </w:tr>
      <w:tr w:rsidR="0015230B" w14:paraId="0B986B4C" w14:textId="77777777" w:rsidTr="00AB4589">
        <w:tc>
          <w:tcPr>
            <w:tcW w:w="5948" w:type="dxa"/>
          </w:tcPr>
          <w:p w14:paraId="08273D0F" w14:textId="77777777" w:rsidR="00AB4589" w:rsidRPr="00F35F60" w:rsidRDefault="00AB4589" w:rsidP="00AB4589">
            <w:pPr>
              <w:rPr>
                <w:rFonts w:cs="Arial"/>
              </w:rPr>
            </w:pPr>
            <w:r w:rsidRPr="00F35F60">
              <w:rPr>
                <w:rFonts w:cs="Arial"/>
              </w:rPr>
              <w:t>Demand (1%)</w:t>
            </w:r>
          </w:p>
        </w:tc>
        <w:tc>
          <w:tcPr>
            <w:tcW w:w="3068" w:type="dxa"/>
          </w:tcPr>
          <w:p w14:paraId="645E2AAF" w14:textId="77777777" w:rsidR="00AB4589" w:rsidRPr="00813473" w:rsidRDefault="00AB4589" w:rsidP="00AB4589">
            <w:pPr>
              <w:jc w:val="right"/>
              <w:rPr>
                <w:rFonts w:cs="Arial"/>
                <w:highlight w:val="yellow"/>
              </w:rPr>
            </w:pPr>
            <w:r w:rsidRPr="00123FA1">
              <w:rPr>
                <w:rFonts w:cs="Arial"/>
              </w:rPr>
              <w:t>+/- 6.030</w:t>
            </w:r>
          </w:p>
        </w:tc>
      </w:tr>
    </w:tbl>
    <w:p w14:paraId="7158EF6A" w14:textId="77777777" w:rsidR="00AB4589" w:rsidRPr="00813473" w:rsidRDefault="00AB4589" w:rsidP="00AB4589">
      <w:pPr>
        <w:tabs>
          <w:tab w:val="left" w:pos="567"/>
          <w:tab w:val="left" w:pos="1134"/>
        </w:tabs>
        <w:spacing w:after="0"/>
        <w:rPr>
          <w:rFonts w:cs="Arial"/>
          <w:highlight w:val="yellow"/>
        </w:rPr>
      </w:pPr>
    </w:p>
    <w:p w14:paraId="7BE5A72C" w14:textId="77777777" w:rsidR="00AB4589" w:rsidRPr="00D310B1" w:rsidRDefault="00AB4589" w:rsidP="00AB4589">
      <w:pPr>
        <w:tabs>
          <w:tab w:val="left" w:pos="567"/>
          <w:tab w:val="left" w:pos="1134"/>
        </w:tabs>
        <w:spacing w:after="0"/>
        <w:ind w:left="142"/>
        <w:rPr>
          <w:rFonts w:cs="Arial"/>
        </w:rPr>
      </w:pPr>
      <w:r w:rsidRPr="00D310B1">
        <w:rPr>
          <w:rFonts w:cs="Arial"/>
        </w:rPr>
        <w:t>This stress testing gives confidence that the council can continue to live within its means for a number of years even in adverse circumstances. This does not however diminish or negate the need to make further savings but does demonstrate that the council continues to have sufficient resilience to deliver them in a measured and structured way.</w:t>
      </w:r>
    </w:p>
    <w:p w14:paraId="344B31F4" w14:textId="77777777" w:rsidR="00AB4589" w:rsidRPr="00D310B1" w:rsidRDefault="00AB4589" w:rsidP="00AB4589">
      <w:pPr>
        <w:tabs>
          <w:tab w:val="left" w:pos="567"/>
          <w:tab w:val="left" w:pos="1134"/>
        </w:tabs>
        <w:spacing w:after="0"/>
        <w:rPr>
          <w:rFonts w:cs="Arial"/>
        </w:rPr>
      </w:pPr>
      <w:r w:rsidRPr="00D310B1">
        <w:rPr>
          <w:rFonts w:cs="Arial"/>
        </w:rPr>
        <w:t xml:space="preserve"> </w:t>
      </w:r>
    </w:p>
    <w:sectPr w:rsidR="00AB4589" w:rsidRPr="00D310B1" w:rsidSect="00AB4589">
      <w:pgSz w:w="11906" w:h="16838"/>
      <w:pgMar w:top="1276"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B7664" w14:textId="77777777" w:rsidR="00C61025" w:rsidRDefault="00C61025">
      <w:pPr>
        <w:spacing w:after="0"/>
      </w:pPr>
      <w:r>
        <w:separator/>
      </w:r>
    </w:p>
  </w:endnote>
  <w:endnote w:type="continuationSeparator" w:id="0">
    <w:p w14:paraId="3982A634" w14:textId="77777777" w:rsidR="00C61025" w:rsidRDefault="00C610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829511"/>
      <w:docPartObj>
        <w:docPartGallery w:val="Page Numbers (Bottom of Page)"/>
        <w:docPartUnique/>
      </w:docPartObj>
    </w:sdtPr>
    <w:sdtEndPr>
      <w:rPr>
        <w:noProof/>
      </w:rPr>
    </w:sdtEndPr>
    <w:sdtContent>
      <w:p w14:paraId="10802B88" w14:textId="7078B68A" w:rsidR="00C61025" w:rsidRDefault="00C61025" w:rsidP="008A631F">
        <w:pPr>
          <w:pStyle w:val="Footer"/>
          <w:jc w:val="right"/>
        </w:pPr>
        <w:r>
          <w:fldChar w:fldCharType="begin"/>
        </w:r>
        <w:r>
          <w:instrText xml:space="preserve"> PAGE   \* MERGEFORMAT </w:instrText>
        </w:r>
        <w:r>
          <w:fldChar w:fldCharType="separate"/>
        </w:r>
        <w:r w:rsidR="008A631F">
          <w:rPr>
            <w:noProof/>
          </w:rPr>
          <w:t>18</w:t>
        </w:r>
        <w:r>
          <w:rPr>
            <w:noProof/>
          </w:rPr>
          <w:fldChar w:fldCharType="end"/>
        </w:r>
      </w:p>
    </w:sdtContent>
  </w:sdt>
  <w:p w14:paraId="2012C950" w14:textId="77777777" w:rsidR="00C61025" w:rsidRDefault="00C61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391F9" w14:textId="77777777" w:rsidR="00C61025" w:rsidRDefault="00C61025">
      <w:pPr>
        <w:spacing w:after="0"/>
      </w:pPr>
      <w:r>
        <w:separator/>
      </w:r>
    </w:p>
  </w:footnote>
  <w:footnote w:type="continuationSeparator" w:id="0">
    <w:p w14:paraId="75EDB3A8" w14:textId="77777777" w:rsidR="00C61025" w:rsidRDefault="00C610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77FA" w14:textId="45D19B28" w:rsidR="00C61025" w:rsidRDefault="008A631F">
    <w:pPr>
      <w:pStyle w:val="Header"/>
    </w:pPr>
    <w:sdt>
      <w:sdtPr>
        <w:id w:val="-2063089987"/>
        <w:docPartObj>
          <w:docPartGallery w:val="Page Numbers (Top of Page)"/>
          <w:docPartUnique/>
        </w:docPartObj>
      </w:sdtPr>
      <w:sdtEndPr>
        <w:rPr>
          <w:noProof/>
        </w:rPr>
      </w:sdtEndPr>
      <w:sdtContent>
        <w:r w:rsidR="00C61025">
          <w:fldChar w:fldCharType="begin"/>
        </w:r>
        <w:r w:rsidR="00C61025">
          <w:instrText xml:space="preserve"> PAGE   \* MERGEFORMAT </w:instrText>
        </w:r>
        <w:r w:rsidR="00C61025">
          <w:fldChar w:fldCharType="separate"/>
        </w:r>
        <w:r>
          <w:rPr>
            <w:noProof/>
          </w:rPr>
          <w:t>18</w:t>
        </w:r>
        <w:r w:rsidR="00C61025">
          <w:rPr>
            <w:noProof/>
          </w:rPr>
          <w:fldChar w:fldCharType="end"/>
        </w:r>
      </w:sdtContent>
    </w:sdt>
  </w:p>
  <w:p w14:paraId="62D4A19D" w14:textId="77777777" w:rsidR="00C61025" w:rsidRDefault="00C61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9F00D" w14:textId="77777777" w:rsidR="00C61025" w:rsidRDefault="00C61025" w:rsidP="00AB4589">
    <w:pPr>
      <w:pStyle w:val="Header"/>
    </w:pPr>
    <w:r>
      <w:rPr>
        <w:noProof/>
        <w:lang w:eastAsia="en-GB"/>
      </w:rPr>
      <w:drawing>
        <wp:anchor distT="0" distB="0" distL="114300" distR="114300" simplePos="0" relativeHeight="251658240" behindDoc="1" locked="0" layoutInCell="1" allowOverlap="1" wp14:anchorId="52A13479" wp14:editId="0D66E57E">
          <wp:simplePos x="0" y="0"/>
          <wp:positionH relativeFrom="page">
            <wp:align>left</wp:align>
          </wp:positionH>
          <wp:positionV relativeFrom="paragraph">
            <wp:posOffset>-714375</wp:posOffset>
          </wp:positionV>
          <wp:extent cx="7564755" cy="10689590"/>
          <wp:effectExtent l="0" t="0" r="0" b="0"/>
          <wp:wrapNone/>
          <wp:docPr id="5" name="Picture 5"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BB5AB2"/>
    <w:multiLevelType w:val="hybridMultilevel"/>
    <w:tmpl w:val="432A1498"/>
    <w:lvl w:ilvl="0" w:tplc="3A4CF806">
      <w:start w:val="1"/>
      <w:numFmt w:val="bullet"/>
      <w:lvlText w:val="o"/>
      <w:lvlJc w:val="left"/>
      <w:pPr>
        <w:ind w:left="1222" w:hanging="360"/>
      </w:pPr>
      <w:rPr>
        <w:rFonts w:ascii="Courier New" w:hAnsi="Courier New" w:cs="Courier New" w:hint="default"/>
      </w:rPr>
    </w:lvl>
    <w:lvl w:ilvl="1" w:tplc="BA4EDE20" w:tentative="1">
      <w:start w:val="1"/>
      <w:numFmt w:val="bullet"/>
      <w:lvlText w:val="o"/>
      <w:lvlJc w:val="left"/>
      <w:pPr>
        <w:ind w:left="1942" w:hanging="360"/>
      </w:pPr>
      <w:rPr>
        <w:rFonts w:ascii="Courier New" w:hAnsi="Courier New" w:cs="Courier New" w:hint="default"/>
      </w:rPr>
    </w:lvl>
    <w:lvl w:ilvl="2" w:tplc="2E0621D0" w:tentative="1">
      <w:start w:val="1"/>
      <w:numFmt w:val="bullet"/>
      <w:lvlText w:val=""/>
      <w:lvlJc w:val="left"/>
      <w:pPr>
        <w:ind w:left="2662" w:hanging="360"/>
      </w:pPr>
      <w:rPr>
        <w:rFonts w:ascii="Wingdings" w:hAnsi="Wingdings" w:hint="default"/>
      </w:rPr>
    </w:lvl>
    <w:lvl w:ilvl="3" w:tplc="8BE8E998" w:tentative="1">
      <w:start w:val="1"/>
      <w:numFmt w:val="bullet"/>
      <w:lvlText w:val=""/>
      <w:lvlJc w:val="left"/>
      <w:pPr>
        <w:ind w:left="3382" w:hanging="360"/>
      </w:pPr>
      <w:rPr>
        <w:rFonts w:ascii="Symbol" w:hAnsi="Symbol" w:hint="default"/>
      </w:rPr>
    </w:lvl>
    <w:lvl w:ilvl="4" w:tplc="ED161E4A" w:tentative="1">
      <w:start w:val="1"/>
      <w:numFmt w:val="bullet"/>
      <w:lvlText w:val="o"/>
      <w:lvlJc w:val="left"/>
      <w:pPr>
        <w:ind w:left="4102" w:hanging="360"/>
      </w:pPr>
      <w:rPr>
        <w:rFonts w:ascii="Courier New" w:hAnsi="Courier New" w:cs="Courier New" w:hint="default"/>
      </w:rPr>
    </w:lvl>
    <w:lvl w:ilvl="5" w:tplc="6D64FE0C" w:tentative="1">
      <w:start w:val="1"/>
      <w:numFmt w:val="bullet"/>
      <w:lvlText w:val=""/>
      <w:lvlJc w:val="left"/>
      <w:pPr>
        <w:ind w:left="4822" w:hanging="360"/>
      </w:pPr>
      <w:rPr>
        <w:rFonts w:ascii="Wingdings" w:hAnsi="Wingdings" w:hint="default"/>
      </w:rPr>
    </w:lvl>
    <w:lvl w:ilvl="6" w:tplc="B6661360" w:tentative="1">
      <w:start w:val="1"/>
      <w:numFmt w:val="bullet"/>
      <w:lvlText w:val=""/>
      <w:lvlJc w:val="left"/>
      <w:pPr>
        <w:ind w:left="5542" w:hanging="360"/>
      </w:pPr>
      <w:rPr>
        <w:rFonts w:ascii="Symbol" w:hAnsi="Symbol" w:hint="default"/>
      </w:rPr>
    </w:lvl>
    <w:lvl w:ilvl="7" w:tplc="CC8210D8" w:tentative="1">
      <w:start w:val="1"/>
      <w:numFmt w:val="bullet"/>
      <w:lvlText w:val="o"/>
      <w:lvlJc w:val="left"/>
      <w:pPr>
        <w:ind w:left="6262" w:hanging="360"/>
      </w:pPr>
      <w:rPr>
        <w:rFonts w:ascii="Courier New" w:hAnsi="Courier New" w:cs="Courier New" w:hint="default"/>
      </w:rPr>
    </w:lvl>
    <w:lvl w:ilvl="8" w:tplc="940C12AA" w:tentative="1">
      <w:start w:val="1"/>
      <w:numFmt w:val="bullet"/>
      <w:lvlText w:val=""/>
      <w:lvlJc w:val="left"/>
      <w:pPr>
        <w:ind w:left="6982" w:hanging="360"/>
      </w:pPr>
      <w:rPr>
        <w:rFonts w:ascii="Wingdings" w:hAnsi="Wingdings" w:hint="default"/>
      </w:rPr>
    </w:lvl>
  </w:abstractNum>
  <w:abstractNum w:abstractNumId="21" w15:restartNumberingAfterBreak="0">
    <w:nsid w:val="073E17C5"/>
    <w:multiLevelType w:val="multilevel"/>
    <w:tmpl w:val="0D92F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0C3370D"/>
    <w:multiLevelType w:val="multilevel"/>
    <w:tmpl w:val="7E74B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AF4DEE"/>
    <w:multiLevelType w:val="hybridMultilevel"/>
    <w:tmpl w:val="D54672F6"/>
    <w:lvl w:ilvl="0" w:tplc="63C04412">
      <w:start w:val="1"/>
      <w:numFmt w:val="bullet"/>
      <w:lvlText w:val=""/>
      <w:lvlJc w:val="left"/>
      <w:pPr>
        <w:ind w:left="720" w:hanging="360"/>
      </w:pPr>
      <w:rPr>
        <w:rFonts w:ascii="Symbol" w:hAnsi="Symbol" w:hint="default"/>
      </w:rPr>
    </w:lvl>
    <w:lvl w:ilvl="1" w:tplc="FA9499C6" w:tentative="1">
      <w:start w:val="1"/>
      <w:numFmt w:val="bullet"/>
      <w:lvlText w:val="o"/>
      <w:lvlJc w:val="left"/>
      <w:pPr>
        <w:ind w:left="1440" w:hanging="360"/>
      </w:pPr>
      <w:rPr>
        <w:rFonts w:ascii="Courier New" w:hAnsi="Courier New" w:cs="Courier New" w:hint="default"/>
      </w:rPr>
    </w:lvl>
    <w:lvl w:ilvl="2" w:tplc="B9FA34B2" w:tentative="1">
      <w:start w:val="1"/>
      <w:numFmt w:val="bullet"/>
      <w:lvlText w:val=""/>
      <w:lvlJc w:val="left"/>
      <w:pPr>
        <w:ind w:left="2160" w:hanging="360"/>
      </w:pPr>
      <w:rPr>
        <w:rFonts w:ascii="Wingdings" w:hAnsi="Wingdings" w:hint="default"/>
      </w:rPr>
    </w:lvl>
    <w:lvl w:ilvl="3" w:tplc="22964446" w:tentative="1">
      <w:start w:val="1"/>
      <w:numFmt w:val="bullet"/>
      <w:lvlText w:val=""/>
      <w:lvlJc w:val="left"/>
      <w:pPr>
        <w:ind w:left="2880" w:hanging="360"/>
      </w:pPr>
      <w:rPr>
        <w:rFonts w:ascii="Symbol" w:hAnsi="Symbol" w:hint="default"/>
      </w:rPr>
    </w:lvl>
    <w:lvl w:ilvl="4" w:tplc="AFD281B2" w:tentative="1">
      <w:start w:val="1"/>
      <w:numFmt w:val="bullet"/>
      <w:lvlText w:val="o"/>
      <w:lvlJc w:val="left"/>
      <w:pPr>
        <w:ind w:left="3600" w:hanging="360"/>
      </w:pPr>
      <w:rPr>
        <w:rFonts w:ascii="Courier New" w:hAnsi="Courier New" w:cs="Courier New" w:hint="default"/>
      </w:rPr>
    </w:lvl>
    <w:lvl w:ilvl="5" w:tplc="E88AAB0C" w:tentative="1">
      <w:start w:val="1"/>
      <w:numFmt w:val="bullet"/>
      <w:lvlText w:val=""/>
      <w:lvlJc w:val="left"/>
      <w:pPr>
        <w:ind w:left="4320" w:hanging="360"/>
      </w:pPr>
      <w:rPr>
        <w:rFonts w:ascii="Wingdings" w:hAnsi="Wingdings" w:hint="default"/>
      </w:rPr>
    </w:lvl>
    <w:lvl w:ilvl="6" w:tplc="97A4EF58" w:tentative="1">
      <w:start w:val="1"/>
      <w:numFmt w:val="bullet"/>
      <w:lvlText w:val=""/>
      <w:lvlJc w:val="left"/>
      <w:pPr>
        <w:ind w:left="5040" w:hanging="360"/>
      </w:pPr>
      <w:rPr>
        <w:rFonts w:ascii="Symbol" w:hAnsi="Symbol" w:hint="default"/>
      </w:rPr>
    </w:lvl>
    <w:lvl w:ilvl="7" w:tplc="9CF4CB3E" w:tentative="1">
      <w:start w:val="1"/>
      <w:numFmt w:val="bullet"/>
      <w:lvlText w:val="o"/>
      <w:lvlJc w:val="left"/>
      <w:pPr>
        <w:ind w:left="5760" w:hanging="360"/>
      </w:pPr>
      <w:rPr>
        <w:rFonts w:ascii="Courier New" w:hAnsi="Courier New" w:cs="Courier New" w:hint="default"/>
      </w:rPr>
    </w:lvl>
    <w:lvl w:ilvl="8" w:tplc="8E0873EC" w:tentative="1">
      <w:start w:val="1"/>
      <w:numFmt w:val="bullet"/>
      <w:lvlText w:val=""/>
      <w:lvlJc w:val="left"/>
      <w:pPr>
        <w:ind w:left="6480" w:hanging="360"/>
      </w:pPr>
      <w:rPr>
        <w:rFonts w:ascii="Wingdings" w:hAnsi="Wingdings" w:hint="default"/>
      </w:rPr>
    </w:lvl>
  </w:abstractNum>
  <w:abstractNum w:abstractNumId="24" w15:restartNumberingAfterBreak="0">
    <w:nsid w:val="2095304B"/>
    <w:multiLevelType w:val="hybridMultilevel"/>
    <w:tmpl w:val="F63C004C"/>
    <w:lvl w:ilvl="0" w:tplc="13BC6A1E">
      <w:start w:val="1"/>
      <w:numFmt w:val="bullet"/>
      <w:lvlText w:val="o"/>
      <w:lvlJc w:val="left"/>
      <w:pPr>
        <w:ind w:left="501" w:hanging="360"/>
      </w:pPr>
      <w:rPr>
        <w:rFonts w:ascii="Courier New" w:hAnsi="Courier New" w:cs="Courier New" w:hint="default"/>
      </w:rPr>
    </w:lvl>
    <w:lvl w:ilvl="1" w:tplc="586C7B74" w:tentative="1">
      <w:start w:val="1"/>
      <w:numFmt w:val="bullet"/>
      <w:lvlText w:val="o"/>
      <w:lvlJc w:val="left"/>
      <w:pPr>
        <w:ind w:left="1440" w:hanging="360"/>
      </w:pPr>
      <w:rPr>
        <w:rFonts w:ascii="Courier New" w:hAnsi="Courier New" w:cs="Courier New" w:hint="default"/>
      </w:rPr>
    </w:lvl>
    <w:lvl w:ilvl="2" w:tplc="80F4AE82" w:tentative="1">
      <w:start w:val="1"/>
      <w:numFmt w:val="bullet"/>
      <w:lvlText w:val=""/>
      <w:lvlJc w:val="left"/>
      <w:pPr>
        <w:ind w:left="2160" w:hanging="360"/>
      </w:pPr>
      <w:rPr>
        <w:rFonts w:ascii="Wingdings" w:hAnsi="Wingdings" w:hint="default"/>
      </w:rPr>
    </w:lvl>
    <w:lvl w:ilvl="3" w:tplc="1F0A074C" w:tentative="1">
      <w:start w:val="1"/>
      <w:numFmt w:val="bullet"/>
      <w:lvlText w:val=""/>
      <w:lvlJc w:val="left"/>
      <w:pPr>
        <w:ind w:left="2880" w:hanging="360"/>
      </w:pPr>
      <w:rPr>
        <w:rFonts w:ascii="Symbol" w:hAnsi="Symbol" w:hint="default"/>
      </w:rPr>
    </w:lvl>
    <w:lvl w:ilvl="4" w:tplc="3E9C6B66" w:tentative="1">
      <w:start w:val="1"/>
      <w:numFmt w:val="bullet"/>
      <w:lvlText w:val="o"/>
      <w:lvlJc w:val="left"/>
      <w:pPr>
        <w:ind w:left="3600" w:hanging="360"/>
      </w:pPr>
      <w:rPr>
        <w:rFonts w:ascii="Courier New" w:hAnsi="Courier New" w:cs="Courier New" w:hint="default"/>
      </w:rPr>
    </w:lvl>
    <w:lvl w:ilvl="5" w:tplc="AE4AEDDE" w:tentative="1">
      <w:start w:val="1"/>
      <w:numFmt w:val="bullet"/>
      <w:lvlText w:val=""/>
      <w:lvlJc w:val="left"/>
      <w:pPr>
        <w:ind w:left="4320" w:hanging="360"/>
      </w:pPr>
      <w:rPr>
        <w:rFonts w:ascii="Wingdings" w:hAnsi="Wingdings" w:hint="default"/>
      </w:rPr>
    </w:lvl>
    <w:lvl w:ilvl="6" w:tplc="F76EF57E" w:tentative="1">
      <w:start w:val="1"/>
      <w:numFmt w:val="bullet"/>
      <w:lvlText w:val=""/>
      <w:lvlJc w:val="left"/>
      <w:pPr>
        <w:ind w:left="5040" w:hanging="360"/>
      </w:pPr>
      <w:rPr>
        <w:rFonts w:ascii="Symbol" w:hAnsi="Symbol" w:hint="default"/>
      </w:rPr>
    </w:lvl>
    <w:lvl w:ilvl="7" w:tplc="AE0C6E40" w:tentative="1">
      <w:start w:val="1"/>
      <w:numFmt w:val="bullet"/>
      <w:lvlText w:val="o"/>
      <w:lvlJc w:val="left"/>
      <w:pPr>
        <w:ind w:left="5760" w:hanging="360"/>
      </w:pPr>
      <w:rPr>
        <w:rFonts w:ascii="Courier New" w:hAnsi="Courier New" w:cs="Courier New" w:hint="default"/>
      </w:rPr>
    </w:lvl>
    <w:lvl w:ilvl="8" w:tplc="23222A50" w:tentative="1">
      <w:start w:val="1"/>
      <w:numFmt w:val="bullet"/>
      <w:lvlText w:val=""/>
      <w:lvlJc w:val="left"/>
      <w:pPr>
        <w:ind w:left="6480" w:hanging="360"/>
      </w:pPr>
      <w:rPr>
        <w:rFonts w:ascii="Wingdings" w:hAnsi="Wingdings" w:hint="default"/>
      </w:rPr>
    </w:lvl>
  </w:abstractNum>
  <w:abstractNum w:abstractNumId="25" w15:restartNumberingAfterBreak="0">
    <w:nsid w:val="32DE378D"/>
    <w:multiLevelType w:val="hybridMultilevel"/>
    <w:tmpl w:val="669255CA"/>
    <w:lvl w:ilvl="0" w:tplc="A738ADD2">
      <w:start w:val="1"/>
      <w:numFmt w:val="bullet"/>
      <w:pStyle w:val="Bullet"/>
      <w:lvlText w:val=""/>
      <w:lvlJc w:val="left"/>
      <w:pPr>
        <w:ind w:left="363" w:hanging="360"/>
      </w:pPr>
      <w:rPr>
        <w:rFonts w:ascii="Symbol" w:hAnsi="Symbol" w:hint="default"/>
      </w:rPr>
    </w:lvl>
    <w:lvl w:ilvl="1" w:tplc="02A24D6E">
      <w:start w:val="1"/>
      <w:numFmt w:val="bullet"/>
      <w:pStyle w:val="Bullet-indent"/>
      <w:lvlText w:val="o"/>
      <w:lvlJc w:val="left"/>
      <w:pPr>
        <w:ind w:left="1083" w:hanging="360"/>
      </w:pPr>
      <w:rPr>
        <w:rFonts w:ascii="Courier New" w:hAnsi="Courier New" w:cs="Courier New" w:hint="default"/>
      </w:rPr>
    </w:lvl>
    <w:lvl w:ilvl="2" w:tplc="F090892A" w:tentative="1">
      <w:start w:val="1"/>
      <w:numFmt w:val="bullet"/>
      <w:lvlText w:val=""/>
      <w:lvlJc w:val="left"/>
      <w:pPr>
        <w:ind w:left="1803" w:hanging="360"/>
      </w:pPr>
      <w:rPr>
        <w:rFonts w:ascii="Wingdings" w:hAnsi="Wingdings" w:hint="default"/>
      </w:rPr>
    </w:lvl>
    <w:lvl w:ilvl="3" w:tplc="9C1089FE" w:tentative="1">
      <w:start w:val="1"/>
      <w:numFmt w:val="bullet"/>
      <w:lvlText w:val=""/>
      <w:lvlJc w:val="left"/>
      <w:pPr>
        <w:ind w:left="2523" w:hanging="360"/>
      </w:pPr>
      <w:rPr>
        <w:rFonts w:ascii="Symbol" w:hAnsi="Symbol" w:hint="default"/>
      </w:rPr>
    </w:lvl>
    <w:lvl w:ilvl="4" w:tplc="68062C08" w:tentative="1">
      <w:start w:val="1"/>
      <w:numFmt w:val="bullet"/>
      <w:lvlText w:val="o"/>
      <w:lvlJc w:val="left"/>
      <w:pPr>
        <w:ind w:left="3243" w:hanging="360"/>
      </w:pPr>
      <w:rPr>
        <w:rFonts w:ascii="Courier New" w:hAnsi="Courier New" w:cs="Courier New" w:hint="default"/>
      </w:rPr>
    </w:lvl>
    <w:lvl w:ilvl="5" w:tplc="854068E2" w:tentative="1">
      <w:start w:val="1"/>
      <w:numFmt w:val="bullet"/>
      <w:lvlText w:val=""/>
      <w:lvlJc w:val="left"/>
      <w:pPr>
        <w:ind w:left="3963" w:hanging="360"/>
      </w:pPr>
      <w:rPr>
        <w:rFonts w:ascii="Wingdings" w:hAnsi="Wingdings" w:hint="default"/>
      </w:rPr>
    </w:lvl>
    <w:lvl w:ilvl="6" w:tplc="02D60B50" w:tentative="1">
      <w:start w:val="1"/>
      <w:numFmt w:val="bullet"/>
      <w:lvlText w:val=""/>
      <w:lvlJc w:val="left"/>
      <w:pPr>
        <w:ind w:left="4683" w:hanging="360"/>
      </w:pPr>
      <w:rPr>
        <w:rFonts w:ascii="Symbol" w:hAnsi="Symbol" w:hint="default"/>
      </w:rPr>
    </w:lvl>
    <w:lvl w:ilvl="7" w:tplc="73982CA0" w:tentative="1">
      <w:start w:val="1"/>
      <w:numFmt w:val="bullet"/>
      <w:lvlText w:val="o"/>
      <w:lvlJc w:val="left"/>
      <w:pPr>
        <w:ind w:left="5403" w:hanging="360"/>
      </w:pPr>
      <w:rPr>
        <w:rFonts w:ascii="Courier New" w:hAnsi="Courier New" w:cs="Courier New" w:hint="default"/>
      </w:rPr>
    </w:lvl>
    <w:lvl w:ilvl="8" w:tplc="471EE010" w:tentative="1">
      <w:start w:val="1"/>
      <w:numFmt w:val="bullet"/>
      <w:lvlText w:val=""/>
      <w:lvlJc w:val="left"/>
      <w:pPr>
        <w:ind w:left="6123" w:hanging="360"/>
      </w:pPr>
      <w:rPr>
        <w:rFonts w:ascii="Wingdings" w:hAnsi="Wingdings" w:hint="default"/>
      </w:rPr>
    </w:lvl>
  </w:abstractNum>
  <w:abstractNum w:abstractNumId="26" w15:restartNumberingAfterBreak="0">
    <w:nsid w:val="338E1B06"/>
    <w:multiLevelType w:val="hybridMultilevel"/>
    <w:tmpl w:val="C8C6DC48"/>
    <w:lvl w:ilvl="0" w:tplc="B774946A">
      <w:start w:val="1"/>
      <w:numFmt w:val="bullet"/>
      <w:lvlText w:val=""/>
      <w:lvlJc w:val="left"/>
      <w:pPr>
        <w:ind w:left="720" w:hanging="360"/>
      </w:pPr>
      <w:rPr>
        <w:rFonts w:ascii="Symbol" w:hAnsi="Symbol" w:hint="default"/>
      </w:rPr>
    </w:lvl>
    <w:lvl w:ilvl="1" w:tplc="131804E2" w:tentative="1">
      <w:start w:val="1"/>
      <w:numFmt w:val="bullet"/>
      <w:lvlText w:val="o"/>
      <w:lvlJc w:val="left"/>
      <w:pPr>
        <w:ind w:left="1440" w:hanging="360"/>
      </w:pPr>
      <w:rPr>
        <w:rFonts w:ascii="Courier New" w:hAnsi="Courier New" w:cs="Courier New" w:hint="default"/>
      </w:rPr>
    </w:lvl>
    <w:lvl w:ilvl="2" w:tplc="B79A361E" w:tentative="1">
      <w:start w:val="1"/>
      <w:numFmt w:val="bullet"/>
      <w:lvlText w:val=""/>
      <w:lvlJc w:val="left"/>
      <w:pPr>
        <w:ind w:left="2160" w:hanging="360"/>
      </w:pPr>
      <w:rPr>
        <w:rFonts w:ascii="Wingdings" w:hAnsi="Wingdings" w:hint="default"/>
      </w:rPr>
    </w:lvl>
    <w:lvl w:ilvl="3" w:tplc="A5E6FF20" w:tentative="1">
      <w:start w:val="1"/>
      <w:numFmt w:val="bullet"/>
      <w:lvlText w:val=""/>
      <w:lvlJc w:val="left"/>
      <w:pPr>
        <w:ind w:left="2880" w:hanging="360"/>
      </w:pPr>
      <w:rPr>
        <w:rFonts w:ascii="Symbol" w:hAnsi="Symbol" w:hint="default"/>
      </w:rPr>
    </w:lvl>
    <w:lvl w:ilvl="4" w:tplc="36FA665C" w:tentative="1">
      <w:start w:val="1"/>
      <w:numFmt w:val="bullet"/>
      <w:lvlText w:val="o"/>
      <w:lvlJc w:val="left"/>
      <w:pPr>
        <w:ind w:left="3600" w:hanging="360"/>
      </w:pPr>
      <w:rPr>
        <w:rFonts w:ascii="Courier New" w:hAnsi="Courier New" w:cs="Courier New" w:hint="default"/>
      </w:rPr>
    </w:lvl>
    <w:lvl w:ilvl="5" w:tplc="62F27392" w:tentative="1">
      <w:start w:val="1"/>
      <w:numFmt w:val="bullet"/>
      <w:lvlText w:val=""/>
      <w:lvlJc w:val="left"/>
      <w:pPr>
        <w:ind w:left="4320" w:hanging="360"/>
      </w:pPr>
      <w:rPr>
        <w:rFonts w:ascii="Wingdings" w:hAnsi="Wingdings" w:hint="default"/>
      </w:rPr>
    </w:lvl>
    <w:lvl w:ilvl="6" w:tplc="424A7D8A" w:tentative="1">
      <w:start w:val="1"/>
      <w:numFmt w:val="bullet"/>
      <w:lvlText w:val=""/>
      <w:lvlJc w:val="left"/>
      <w:pPr>
        <w:ind w:left="5040" w:hanging="360"/>
      </w:pPr>
      <w:rPr>
        <w:rFonts w:ascii="Symbol" w:hAnsi="Symbol" w:hint="default"/>
      </w:rPr>
    </w:lvl>
    <w:lvl w:ilvl="7" w:tplc="BE821292" w:tentative="1">
      <w:start w:val="1"/>
      <w:numFmt w:val="bullet"/>
      <w:lvlText w:val="o"/>
      <w:lvlJc w:val="left"/>
      <w:pPr>
        <w:ind w:left="5760" w:hanging="360"/>
      </w:pPr>
      <w:rPr>
        <w:rFonts w:ascii="Courier New" w:hAnsi="Courier New" w:cs="Courier New" w:hint="default"/>
      </w:rPr>
    </w:lvl>
    <w:lvl w:ilvl="8" w:tplc="D91453A4" w:tentative="1">
      <w:start w:val="1"/>
      <w:numFmt w:val="bullet"/>
      <w:lvlText w:val=""/>
      <w:lvlJc w:val="left"/>
      <w:pPr>
        <w:ind w:left="6480" w:hanging="360"/>
      </w:pPr>
      <w:rPr>
        <w:rFonts w:ascii="Wingdings" w:hAnsi="Wingdings" w:hint="default"/>
      </w:rPr>
    </w:lvl>
  </w:abstractNum>
  <w:abstractNum w:abstractNumId="27" w15:restartNumberingAfterBreak="0">
    <w:nsid w:val="37573839"/>
    <w:multiLevelType w:val="hybridMultilevel"/>
    <w:tmpl w:val="5118811A"/>
    <w:lvl w:ilvl="0" w:tplc="1A1018AE">
      <w:start w:val="1"/>
      <w:numFmt w:val="bullet"/>
      <w:lvlText w:val=""/>
      <w:lvlJc w:val="left"/>
      <w:pPr>
        <w:ind w:left="786" w:hanging="360"/>
      </w:pPr>
      <w:rPr>
        <w:rFonts w:ascii="Symbol" w:hAnsi="Symbol" w:hint="default"/>
      </w:rPr>
    </w:lvl>
    <w:lvl w:ilvl="1" w:tplc="1062F714" w:tentative="1">
      <w:start w:val="1"/>
      <w:numFmt w:val="bullet"/>
      <w:lvlText w:val="o"/>
      <w:lvlJc w:val="left"/>
      <w:pPr>
        <w:ind w:left="1506" w:hanging="360"/>
      </w:pPr>
      <w:rPr>
        <w:rFonts w:ascii="Courier New" w:hAnsi="Courier New" w:cs="Courier New" w:hint="default"/>
      </w:rPr>
    </w:lvl>
    <w:lvl w:ilvl="2" w:tplc="55CCF242" w:tentative="1">
      <w:start w:val="1"/>
      <w:numFmt w:val="bullet"/>
      <w:lvlText w:val=""/>
      <w:lvlJc w:val="left"/>
      <w:pPr>
        <w:ind w:left="2226" w:hanging="360"/>
      </w:pPr>
      <w:rPr>
        <w:rFonts w:ascii="Wingdings" w:hAnsi="Wingdings" w:hint="default"/>
      </w:rPr>
    </w:lvl>
    <w:lvl w:ilvl="3" w:tplc="8A207398" w:tentative="1">
      <w:start w:val="1"/>
      <w:numFmt w:val="bullet"/>
      <w:lvlText w:val=""/>
      <w:lvlJc w:val="left"/>
      <w:pPr>
        <w:ind w:left="2946" w:hanging="360"/>
      </w:pPr>
      <w:rPr>
        <w:rFonts w:ascii="Symbol" w:hAnsi="Symbol" w:hint="default"/>
      </w:rPr>
    </w:lvl>
    <w:lvl w:ilvl="4" w:tplc="2922596A" w:tentative="1">
      <w:start w:val="1"/>
      <w:numFmt w:val="bullet"/>
      <w:lvlText w:val="o"/>
      <w:lvlJc w:val="left"/>
      <w:pPr>
        <w:ind w:left="3666" w:hanging="360"/>
      </w:pPr>
      <w:rPr>
        <w:rFonts w:ascii="Courier New" w:hAnsi="Courier New" w:cs="Courier New" w:hint="default"/>
      </w:rPr>
    </w:lvl>
    <w:lvl w:ilvl="5" w:tplc="C5164F38" w:tentative="1">
      <w:start w:val="1"/>
      <w:numFmt w:val="bullet"/>
      <w:lvlText w:val=""/>
      <w:lvlJc w:val="left"/>
      <w:pPr>
        <w:ind w:left="4386" w:hanging="360"/>
      </w:pPr>
      <w:rPr>
        <w:rFonts w:ascii="Wingdings" w:hAnsi="Wingdings" w:hint="default"/>
      </w:rPr>
    </w:lvl>
    <w:lvl w:ilvl="6" w:tplc="8084B40E" w:tentative="1">
      <w:start w:val="1"/>
      <w:numFmt w:val="bullet"/>
      <w:lvlText w:val=""/>
      <w:lvlJc w:val="left"/>
      <w:pPr>
        <w:ind w:left="5106" w:hanging="360"/>
      </w:pPr>
      <w:rPr>
        <w:rFonts w:ascii="Symbol" w:hAnsi="Symbol" w:hint="default"/>
      </w:rPr>
    </w:lvl>
    <w:lvl w:ilvl="7" w:tplc="34F639BE" w:tentative="1">
      <w:start w:val="1"/>
      <w:numFmt w:val="bullet"/>
      <w:lvlText w:val="o"/>
      <w:lvlJc w:val="left"/>
      <w:pPr>
        <w:ind w:left="5826" w:hanging="360"/>
      </w:pPr>
      <w:rPr>
        <w:rFonts w:ascii="Courier New" w:hAnsi="Courier New" w:cs="Courier New" w:hint="default"/>
      </w:rPr>
    </w:lvl>
    <w:lvl w:ilvl="8" w:tplc="899E00D0" w:tentative="1">
      <w:start w:val="1"/>
      <w:numFmt w:val="bullet"/>
      <w:lvlText w:val=""/>
      <w:lvlJc w:val="left"/>
      <w:pPr>
        <w:ind w:left="6546" w:hanging="360"/>
      </w:pPr>
      <w:rPr>
        <w:rFonts w:ascii="Wingdings" w:hAnsi="Wingdings" w:hint="default"/>
      </w:rPr>
    </w:lvl>
  </w:abstractNum>
  <w:abstractNum w:abstractNumId="28" w15:restartNumberingAfterBreak="0">
    <w:nsid w:val="398D0E63"/>
    <w:multiLevelType w:val="hybridMultilevel"/>
    <w:tmpl w:val="504838DE"/>
    <w:lvl w:ilvl="0" w:tplc="26A28750">
      <w:start w:val="1"/>
      <w:numFmt w:val="bullet"/>
      <w:lvlText w:val=""/>
      <w:lvlJc w:val="left"/>
      <w:pPr>
        <w:ind w:left="1440" w:hanging="360"/>
      </w:pPr>
      <w:rPr>
        <w:rFonts w:ascii="Symbol" w:hAnsi="Symbol" w:hint="default"/>
      </w:rPr>
    </w:lvl>
    <w:lvl w:ilvl="1" w:tplc="8F6A57F6" w:tentative="1">
      <w:start w:val="1"/>
      <w:numFmt w:val="bullet"/>
      <w:lvlText w:val="o"/>
      <w:lvlJc w:val="left"/>
      <w:pPr>
        <w:ind w:left="2160" w:hanging="360"/>
      </w:pPr>
      <w:rPr>
        <w:rFonts w:ascii="Courier New" w:hAnsi="Courier New" w:cs="Courier New" w:hint="default"/>
      </w:rPr>
    </w:lvl>
    <w:lvl w:ilvl="2" w:tplc="CE9AA55A" w:tentative="1">
      <w:start w:val="1"/>
      <w:numFmt w:val="bullet"/>
      <w:lvlText w:val=""/>
      <w:lvlJc w:val="left"/>
      <w:pPr>
        <w:ind w:left="2880" w:hanging="360"/>
      </w:pPr>
      <w:rPr>
        <w:rFonts w:ascii="Wingdings" w:hAnsi="Wingdings" w:hint="default"/>
      </w:rPr>
    </w:lvl>
    <w:lvl w:ilvl="3" w:tplc="016AA38A" w:tentative="1">
      <w:start w:val="1"/>
      <w:numFmt w:val="bullet"/>
      <w:lvlText w:val=""/>
      <w:lvlJc w:val="left"/>
      <w:pPr>
        <w:ind w:left="3600" w:hanging="360"/>
      </w:pPr>
      <w:rPr>
        <w:rFonts w:ascii="Symbol" w:hAnsi="Symbol" w:hint="default"/>
      </w:rPr>
    </w:lvl>
    <w:lvl w:ilvl="4" w:tplc="83024BD6" w:tentative="1">
      <w:start w:val="1"/>
      <w:numFmt w:val="bullet"/>
      <w:lvlText w:val="o"/>
      <w:lvlJc w:val="left"/>
      <w:pPr>
        <w:ind w:left="4320" w:hanging="360"/>
      </w:pPr>
      <w:rPr>
        <w:rFonts w:ascii="Courier New" w:hAnsi="Courier New" w:cs="Courier New" w:hint="default"/>
      </w:rPr>
    </w:lvl>
    <w:lvl w:ilvl="5" w:tplc="E7A42504" w:tentative="1">
      <w:start w:val="1"/>
      <w:numFmt w:val="bullet"/>
      <w:lvlText w:val=""/>
      <w:lvlJc w:val="left"/>
      <w:pPr>
        <w:ind w:left="5040" w:hanging="360"/>
      </w:pPr>
      <w:rPr>
        <w:rFonts w:ascii="Wingdings" w:hAnsi="Wingdings" w:hint="default"/>
      </w:rPr>
    </w:lvl>
    <w:lvl w:ilvl="6" w:tplc="5406EA2A" w:tentative="1">
      <w:start w:val="1"/>
      <w:numFmt w:val="bullet"/>
      <w:lvlText w:val=""/>
      <w:lvlJc w:val="left"/>
      <w:pPr>
        <w:ind w:left="5760" w:hanging="360"/>
      </w:pPr>
      <w:rPr>
        <w:rFonts w:ascii="Symbol" w:hAnsi="Symbol" w:hint="default"/>
      </w:rPr>
    </w:lvl>
    <w:lvl w:ilvl="7" w:tplc="0B2E3BEE" w:tentative="1">
      <w:start w:val="1"/>
      <w:numFmt w:val="bullet"/>
      <w:lvlText w:val="o"/>
      <w:lvlJc w:val="left"/>
      <w:pPr>
        <w:ind w:left="6480" w:hanging="360"/>
      </w:pPr>
      <w:rPr>
        <w:rFonts w:ascii="Courier New" w:hAnsi="Courier New" w:cs="Courier New" w:hint="default"/>
      </w:rPr>
    </w:lvl>
    <w:lvl w:ilvl="8" w:tplc="A9165498" w:tentative="1">
      <w:start w:val="1"/>
      <w:numFmt w:val="bullet"/>
      <w:lvlText w:val=""/>
      <w:lvlJc w:val="left"/>
      <w:pPr>
        <w:ind w:left="7200" w:hanging="360"/>
      </w:pPr>
      <w:rPr>
        <w:rFonts w:ascii="Wingdings" w:hAnsi="Wingdings" w:hint="default"/>
      </w:rPr>
    </w:lvl>
  </w:abstractNum>
  <w:abstractNum w:abstractNumId="29" w15:restartNumberingAfterBreak="0">
    <w:nsid w:val="3CD21179"/>
    <w:multiLevelType w:val="hybridMultilevel"/>
    <w:tmpl w:val="FC2CECA6"/>
    <w:lvl w:ilvl="0" w:tplc="A804430C">
      <w:start w:val="1"/>
      <w:numFmt w:val="bullet"/>
      <w:lvlText w:val=""/>
      <w:lvlJc w:val="left"/>
      <w:pPr>
        <w:ind w:left="720" w:hanging="360"/>
      </w:pPr>
      <w:rPr>
        <w:rFonts w:ascii="Symbol" w:hAnsi="Symbol" w:hint="default"/>
      </w:rPr>
    </w:lvl>
    <w:lvl w:ilvl="1" w:tplc="7334F344">
      <w:start w:val="1"/>
      <w:numFmt w:val="bullet"/>
      <w:lvlText w:val="o"/>
      <w:lvlJc w:val="left"/>
      <w:pPr>
        <w:ind w:left="1353" w:hanging="360"/>
      </w:pPr>
      <w:rPr>
        <w:rFonts w:ascii="Courier New" w:hAnsi="Courier New" w:cs="Courier New" w:hint="default"/>
      </w:rPr>
    </w:lvl>
    <w:lvl w:ilvl="2" w:tplc="294CBBD4">
      <w:start w:val="1"/>
      <w:numFmt w:val="bullet"/>
      <w:lvlText w:val=""/>
      <w:lvlJc w:val="left"/>
      <w:pPr>
        <w:ind w:left="2160" w:hanging="360"/>
      </w:pPr>
      <w:rPr>
        <w:rFonts w:ascii="Wingdings" w:hAnsi="Wingdings" w:hint="default"/>
      </w:rPr>
    </w:lvl>
    <w:lvl w:ilvl="3" w:tplc="4E3A822C" w:tentative="1">
      <w:start w:val="1"/>
      <w:numFmt w:val="bullet"/>
      <w:lvlText w:val=""/>
      <w:lvlJc w:val="left"/>
      <w:pPr>
        <w:ind w:left="2880" w:hanging="360"/>
      </w:pPr>
      <w:rPr>
        <w:rFonts w:ascii="Symbol" w:hAnsi="Symbol" w:hint="default"/>
      </w:rPr>
    </w:lvl>
    <w:lvl w:ilvl="4" w:tplc="440C04F8" w:tentative="1">
      <w:start w:val="1"/>
      <w:numFmt w:val="bullet"/>
      <w:lvlText w:val="o"/>
      <w:lvlJc w:val="left"/>
      <w:pPr>
        <w:ind w:left="3600" w:hanging="360"/>
      </w:pPr>
      <w:rPr>
        <w:rFonts w:ascii="Courier New" w:hAnsi="Courier New" w:cs="Courier New" w:hint="default"/>
      </w:rPr>
    </w:lvl>
    <w:lvl w:ilvl="5" w:tplc="E42033E6" w:tentative="1">
      <w:start w:val="1"/>
      <w:numFmt w:val="bullet"/>
      <w:lvlText w:val=""/>
      <w:lvlJc w:val="left"/>
      <w:pPr>
        <w:ind w:left="4320" w:hanging="360"/>
      </w:pPr>
      <w:rPr>
        <w:rFonts w:ascii="Wingdings" w:hAnsi="Wingdings" w:hint="default"/>
      </w:rPr>
    </w:lvl>
    <w:lvl w:ilvl="6" w:tplc="4CD05E74" w:tentative="1">
      <w:start w:val="1"/>
      <w:numFmt w:val="bullet"/>
      <w:lvlText w:val=""/>
      <w:lvlJc w:val="left"/>
      <w:pPr>
        <w:ind w:left="5040" w:hanging="360"/>
      </w:pPr>
      <w:rPr>
        <w:rFonts w:ascii="Symbol" w:hAnsi="Symbol" w:hint="default"/>
      </w:rPr>
    </w:lvl>
    <w:lvl w:ilvl="7" w:tplc="1714ADC8" w:tentative="1">
      <w:start w:val="1"/>
      <w:numFmt w:val="bullet"/>
      <w:lvlText w:val="o"/>
      <w:lvlJc w:val="left"/>
      <w:pPr>
        <w:ind w:left="5760" w:hanging="360"/>
      </w:pPr>
      <w:rPr>
        <w:rFonts w:ascii="Courier New" w:hAnsi="Courier New" w:cs="Courier New" w:hint="default"/>
      </w:rPr>
    </w:lvl>
    <w:lvl w:ilvl="8" w:tplc="4D726E8A" w:tentative="1">
      <w:start w:val="1"/>
      <w:numFmt w:val="bullet"/>
      <w:lvlText w:val=""/>
      <w:lvlJc w:val="left"/>
      <w:pPr>
        <w:ind w:left="6480" w:hanging="360"/>
      </w:pPr>
      <w:rPr>
        <w:rFonts w:ascii="Wingdings" w:hAnsi="Wingdings" w:hint="default"/>
      </w:rPr>
    </w:lvl>
  </w:abstractNum>
  <w:abstractNum w:abstractNumId="30" w15:restartNumberingAfterBreak="0">
    <w:nsid w:val="420860A3"/>
    <w:multiLevelType w:val="hybridMultilevel"/>
    <w:tmpl w:val="2DF6A548"/>
    <w:lvl w:ilvl="0" w:tplc="D8B42E7A">
      <w:start w:val="1"/>
      <w:numFmt w:val="decimal"/>
      <w:pStyle w:val="Heading2-numbered"/>
      <w:lvlText w:val="%1."/>
      <w:lvlJc w:val="left"/>
      <w:pPr>
        <w:ind w:left="360" w:hanging="360"/>
      </w:pPr>
    </w:lvl>
    <w:lvl w:ilvl="1" w:tplc="8810590C" w:tentative="1">
      <w:start w:val="1"/>
      <w:numFmt w:val="lowerLetter"/>
      <w:lvlText w:val="%2."/>
      <w:lvlJc w:val="left"/>
      <w:pPr>
        <w:ind w:left="1080" w:hanging="360"/>
      </w:pPr>
    </w:lvl>
    <w:lvl w:ilvl="2" w:tplc="B2E4586A" w:tentative="1">
      <w:start w:val="1"/>
      <w:numFmt w:val="lowerRoman"/>
      <w:lvlText w:val="%3."/>
      <w:lvlJc w:val="right"/>
      <w:pPr>
        <w:ind w:left="1800" w:hanging="180"/>
      </w:pPr>
    </w:lvl>
    <w:lvl w:ilvl="3" w:tplc="74127294" w:tentative="1">
      <w:start w:val="1"/>
      <w:numFmt w:val="decimal"/>
      <w:lvlText w:val="%4."/>
      <w:lvlJc w:val="left"/>
      <w:pPr>
        <w:ind w:left="2520" w:hanging="360"/>
      </w:pPr>
    </w:lvl>
    <w:lvl w:ilvl="4" w:tplc="27E03986" w:tentative="1">
      <w:start w:val="1"/>
      <w:numFmt w:val="lowerLetter"/>
      <w:lvlText w:val="%5."/>
      <w:lvlJc w:val="left"/>
      <w:pPr>
        <w:ind w:left="3240" w:hanging="360"/>
      </w:pPr>
    </w:lvl>
    <w:lvl w:ilvl="5" w:tplc="52108752" w:tentative="1">
      <w:start w:val="1"/>
      <w:numFmt w:val="lowerRoman"/>
      <w:lvlText w:val="%6."/>
      <w:lvlJc w:val="right"/>
      <w:pPr>
        <w:ind w:left="3960" w:hanging="180"/>
      </w:pPr>
    </w:lvl>
    <w:lvl w:ilvl="6" w:tplc="BEF20344" w:tentative="1">
      <w:start w:val="1"/>
      <w:numFmt w:val="decimal"/>
      <w:lvlText w:val="%7."/>
      <w:lvlJc w:val="left"/>
      <w:pPr>
        <w:ind w:left="4680" w:hanging="360"/>
      </w:pPr>
    </w:lvl>
    <w:lvl w:ilvl="7" w:tplc="85BE5396" w:tentative="1">
      <w:start w:val="1"/>
      <w:numFmt w:val="lowerLetter"/>
      <w:lvlText w:val="%8."/>
      <w:lvlJc w:val="left"/>
      <w:pPr>
        <w:ind w:left="5400" w:hanging="360"/>
      </w:pPr>
    </w:lvl>
    <w:lvl w:ilvl="8" w:tplc="07780190" w:tentative="1">
      <w:start w:val="1"/>
      <w:numFmt w:val="lowerRoman"/>
      <w:lvlText w:val="%9."/>
      <w:lvlJc w:val="right"/>
      <w:pPr>
        <w:ind w:left="6120" w:hanging="180"/>
      </w:pPr>
    </w:lvl>
  </w:abstractNum>
  <w:abstractNum w:abstractNumId="31" w15:restartNumberingAfterBreak="0">
    <w:nsid w:val="489A01B5"/>
    <w:multiLevelType w:val="hybridMultilevel"/>
    <w:tmpl w:val="4008D5EE"/>
    <w:lvl w:ilvl="0" w:tplc="2A9873F0">
      <w:start w:val="1"/>
      <w:numFmt w:val="bullet"/>
      <w:lvlText w:val=""/>
      <w:lvlJc w:val="left"/>
      <w:pPr>
        <w:ind w:left="720" w:hanging="360"/>
      </w:pPr>
      <w:rPr>
        <w:rFonts w:ascii="Symbol" w:hAnsi="Symbol" w:hint="default"/>
      </w:rPr>
    </w:lvl>
    <w:lvl w:ilvl="1" w:tplc="3FDC3DDA" w:tentative="1">
      <w:start w:val="1"/>
      <w:numFmt w:val="bullet"/>
      <w:lvlText w:val="o"/>
      <w:lvlJc w:val="left"/>
      <w:pPr>
        <w:ind w:left="1440" w:hanging="360"/>
      </w:pPr>
      <w:rPr>
        <w:rFonts w:ascii="Courier New" w:hAnsi="Courier New" w:cs="Courier New" w:hint="default"/>
      </w:rPr>
    </w:lvl>
    <w:lvl w:ilvl="2" w:tplc="5162B2CA" w:tentative="1">
      <w:start w:val="1"/>
      <w:numFmt w:val="bullet"/>
      <w:lvlText w:val=""/>
      <w:lvlJc w:val="left"/>
      <w:pPr>
        <w:ind w:left="2160" w:hanging="360"/>
      </w:pPr>
      <w:rPr>
        <w:rFonts w:ascii="Wingdings" w:hAnsi="Wingdings" w:hint="default"/>
      </w:rPr>
    </w:lvl>
    <w:lvl w:ilvl="3" w:tplc="84FC4990" w:tentative="1">
      <w:start w:val="1"/>
      <w:numFmt w:val="bullet"/>
      <w:lvlText w:val=""/>
      <w:lvlJc w:val="left"/>
      <w:pPr>
        <w:ind w:left="2880" w:hanging="360"/>
      </w:pPr>
      <w:rPr>
        <w:rFonts w:ascii="Symbol" w:hAnsi="Symbol" w:hint="default"/>
      </w:rPr>
    </w:lvl>
    <w:lvl w:ilvl="4" w:tplc="6A862664" w:tentative="1">
      <w:start w:val="1"/>
      <w:numFmt w:val="bullet"/>
      <w:lvlText w:val="o"/>
      <w:lvlJc w:val="left"/>
      <w:pPr>
        <w:ind w:left="3600" w:hanging="360"/>
      </w:pPr>
      <w:rPr>
        <w:rFonts w:ascii="Courier New" w:hAnsi="Courier New" w:cs="Courier New" w:hint="default"/>
      </w:rPr>
    </w:lvl>
    <w:lvl w:ilvl="5" w:tplc="28302D14" w:tentative="1">
      <w:start w:val="1"/>
      <w:numFmt w:val="bullet"/>
      <w:lvlText w:val=""/>
      <w:lvlJc w:val="left"/>
      <w:pPr>
        <w:ind w:left="4320" w:hanging="360"/>
      </w:pPr>
      <w:rPr>
        <w:rFonts w:ascii="Wingdings" w:hAnsi="Wingdings" w:hint="default"/>
      </w:rPr>
    </w:lvl>
    <w:lvl w:ilvl="6" w:tplc="B5BEC196" w:tentative="1">
      <w:start w:val="1"/>
      <w:numFmt w:val="bullet"/>
      <w:lvlText w:val=""/>
      <w:lvlJc w:val="left"/>
      <w:pPr>
        <w:ind w:left="5040" w:hanging="360"/>
      </w:pPr>
      <w:rPr>
        <w:rFonts w:ascii="Symbol" w:hAnsi="Symbol" w:hint="default"/>
      </w:rPr>
    </w:lvl>
    <w:lvl w:ilvl="7" w:tplc="382440E0" w:tentative="1">
      <w:start w:val="1"/>
      <w:numFmt w:val="bullet"/>
      <w:lvlText w:val="o"/>
      <w:lvlJc w:val="left"/>
      <w:pPr>
        <w:ind w:left="5760" w:hanging="360"/>
      </w:pPr>
      <w:rPr>
        <w:rFonts w:ascii="Courier New" w:hAnsi="Courier New" w:cs="Courier New" w:hint="default"/>
      </w:rPr>
    </w:lvl>
    <w:lvl w:ilvl="8" w:tplc="5D1457A4" w:tentative="1">
      <w:start w:val="1"/>
      <w:numFmt w:val="bullet"/>
      <w:lvlText w:val=""/>
      <w:lvlJc w:val="left"/>
      <w:pPr>
        <w:ind w:left="6480" w:hanging="360"/>
      </w:pPr>
      <w:rPr>
        <w:rFonts w:ascii="Wingdings" w:hAnsi="Wingdings" w:hint="default"/>
      </w:rPr>
    </w:lvl>
  </w:abstractNum>
  <w:abstractNum w:abstractNumId="32" w15:restartNumberingAfterBreak="0">
    <w:nsid w:val="4E097B18"/>
    <w:multiLevelType w:val="hybridMultilevel"/>
    <w:tmpl w:val="4A8A06F0"/>
    <w:lvl w:ilvl="0" w:tplc="BADAE63E">
      <w:start w:val="1"/>
      <w:numFmt w:val="bullet"/>
      <w:lvlText w:val=""/>
      <w:lvlJc w:val="left"/>
      <w:pPr>
        <w:ind w:left="720" w:hanging="360"/>
      </w:pPr>
      <w:rPr>
        <w:rFonts w:ascii="Symbol" w:hAnsi="Symbol" w:hint="default"/>
      </w:rPr>
    </w:lvl>
    <w:lvl w:ilvl="1" w:tplc="6BC4A9E2" w:tentative="1">
      <w:start w:val="1"/>
      <w:numFmt w:val="bullet"/>
      <w:lvlText w:val="o"/>
      <w:lvlJc w:val="left"/>
      <w:pPr>
        <w:ind w:left="1440" w:hanging="360"/>
      </w:pPr>
      <w:rPr>
        <w:rFonts w:ascii="Courier New" w:hAnsi="Courier New" w:cs="Courier New" w:hint="default"/>
      </w:rPr>
    </w:lvl>
    <w:lvl w:ilvl="2" w:tplc="E9B0BDF4" w:tentative="1">
      <w:start w:val="1"/>
      <w:numFmt w:val="bullet"/>
      <w:lvlText w:val=""/>
      <w:lvlJc w:val="left"/>
      <w:pPr>
        <w:ind w:left="2160" w:hanging="360"/>
      </w:pPr>
      <w:rPr>
        <w:rFonts w:ascii="Wingdings" w:hAnsi="Wingdings" w:hint="default"/>
      </w:rPr>
    </w:lvl>
    <w:lvl w:ilvl="3" w:tplc="B5BA12EA" w:tentative="1">
      <w:start w:val="1"/>
      <w:numFmt w:val="bullet"/>
      <w:lvlText w:val=""/>
      <w:lvlJc w:val="left"/>
      <w:pPr>
        <w:ind w:left="2880" w:hanging="360"/>
      </w:pPr>
      <w:rPr>
        <w:rFonts w:ascii="Symbol" w:hAnsi="Symbol" w:hint="default"/>
      </w:rPr>
    </w:lvl>
    <w:lvl w:ilvl="4" w:tplc="FAA67A6E" w:tentative="1">
      <w:start w:val="1"/>
      <w:numFmt w:val="bullet"/>
      <w:lvlText w:val="o"/>
      <w:lvlJc w:val="left"/>
      <w:pPr>
        <w:ind w:left="3600" w:hanging="360"/>
      </w:pPr>
      <w:rPr>
        <w:rFonts w:ascii="Courier New" w:hAnsi="Courier New" w:cs="Courier New" w:hint="default"/>
      </w:rPr>
    </w:lvl>
    <w:lvl w:ilvl="5" w:tplc="3A9856EA" w:tentative="1">
      <w:start w:val="1"/>
      <w:numFmt w:val="bullet"/>
      <w:lvlText w:val=""/>
      <w:lvlJc w:val="left"/>
      <w:pPr>
        <w:ind w:left="4320" w:hanging="360"/>
      </w:pPr>
      <w:rPr>
        <w:rFonts w:ascii="Wingdings" w:hAnsi="Wingdings" w:hint="default"/>
      </w:rPr>
    </w:lvl>
    <w:lvl w:ilvl="6" w:tplc="AFAE3CE8" w:tentative="1">
      <w:start w:val="1"/>
      <w:numFmt w:val="bullet"/>
      <w:lvlText w:val=""/>
      <w:lvlJc w:val="left"/>
      <w:pPr>
        <w:ind w:left="5040" w:hanging="360"/>
      </w:pPr>
      <w:rPr>
        <w:rFonts w:ascii="Symbol" w:hAnsi="Symbol" w:hint="default"/>
      </w:rPr>
    </w:lvl>
    <w:lvl w:ilvl="7" w:tplc="D8E68E62" w:tentative="1">
      <w:start w:val="1"/>
      <w:numFmt w:val="bullet"/>
      <w:lvlText w:val="o"/>
      <w:lvlJc w:val="left"/>
      <w:pPr>
        <w:ind w:left="5760" w:hanging="360"/>
      </w:pPr>
      <w:rPr>
        <w:rFonts w:ascii="Courier New" w:hAnsi="Courier New" w:cs="Courier New" w:hint="default"/>
      </w:rPr>
    </w:lvl>
    <w:lvl w:ilvl="8" w:tplc="D3C4C5A2" w:tentative="1">
      <w:start w:val="1"/>
      <w:numFmt w:val="bullet"/>
      <w:lvlText w:val=""/>
      <w:lvlJc w:val="left"/>
      <w:pPr>
        <w:ind w:left="6480" w:hanging="360"/>
      </w:pPr>
      <w:rPr>
        <w:rFonts w:ascii="Wingdings" w:hAnsi="Wingdings" w:hint="default"/>
      </w:rPr>
    </w:lvl>
  </w:abstractNum>
  <w:abstractNum w:abstractNumId="33" w15:restartNumberingAfterBreak="0">
    <w:nsid w:val="5089630A"/>
    <w:multiLevelType w:val="hybridMultilevel"/>
    <w:tmpl w:val="325691BA"/>
    <w:lvl w:ilvl="0" w:tplc="A914FF12">
      <w:start w:val="1"/>
      <w:numFmt w:val="bullet"/>
      <w:lvlText w:val=""/>
      <w:lvlJc w:val="left"/>
      <w:pPr>
        <w:ind w:left="502" w:hanging="360"/>
      </w:pPr>
      <w:rPr>
        <w:rFonts w:ascii="Symbol" w:hAnsi="Symbol" w:hint="default"/>
      </w:rPr>
    </w:lvl>
    <w:lvl w:ilvl="1" w:tplc="FE3CCCC6" w:tentative="1">
      <w:start w:val="1"/>
      <w:numFmt w:val="bullet"/>
      <w:lvlText w:val="o"/>
      <w:lvlJc w:val="left"/>
      <w:pPr>
        <w:ind w:left="1222" w:hanging="360"/>
      </w:pPr>
      <w:rPr>
        <w:rFonts w:ascii="Courier New" w:hAnsi="Courier New" w:cs="Courier New" w:hint="default"/>
      </w:rPr>
    </w:lvl>
    <w:lvl w:ilvl="2" w:tplc="5260B7EE" w:tentative="1">
      <w:start w:val="1"/>
      <w:numFmt w:val="bullet"/>
      <w:lvlText w:val=""/>
      <w:lvlJc w:val="left"/>
      <w:pPr>
        <w:ind w:left="1942" w:hanging="360"/>
      </w:pPr>
      <w:rPr>
        <w:rFonts w:ascii="Wingdings" w:hAnsi="Wingdings" w:hint="default"/>
      </w:rPr>
    </w:lvl>
    <w:lvl w:ilvl="3" w:tplc="B06EF6E0" w:tentative="1">
      <w:start w:val="1"/>
      <w:numFmt w:val="bullet"/>
      <w:lvlText w:val=""/>
      <w:lvlJc w:val="left"/>
      <w:pPr>
        <w:ind w:left="2662" w:hanging="360"/>
      </w:pPr>
      <w:rPr>
        <w:rFonts w:ascii="Symbol" w:hAnsi="Symbol" w:hint="default"/>
      </w:rPr>
    </w:lvl>
    <w:lvl w:ilvl="4" w:tplc="82E61FBE" w:tentative="1">
      <w:start w:val="1"/>
      <w:numFmt w:val="bullet"/>
      <w:lvlText w:val="o"/>
      <w:lvlJc w:val="left"/>
      <w:pPr>
        <w:ind w:left="3382" w:hanging="360"/>
      </w:pPr>
      <w:rPr>
        <w:rFonts w:ascii="Courier New" w:hAnsi="Courier New" w:cs="Courier New" w:hint="default"/>
      </w:rPr>
    </w:lvl>
    <w:lvl w:ilvl="5" w:tplc="23F2700C" w:tentative="1">
      <w:start w:val="1"/>
      <w:numFmt w:val="bullet"/>
      <w:lvlText w:val=""/>
      <w:lvlJc w:val="left"/>
      <w:pPr>
        <w:ind w:left="4102" w:hanging="360"/>
      </w:pPr>
      <w:rPr>
        <w:rFonts w:ascii="Wingdings" w:hAnsi="Wingdings" w:hint="default"/>
      </w:rPr>
    </w:lvl>
    <w:lvl w:ilvl="6" w:tplc="1DB061D2" w:tentative="1">
      <w:start w:val="1"/>
      <w:numFmt w:val="bullet"/>
      <w:lvlText w:val=""/>
      <w:lvlJc w:val="left"/>
      <w:pPr>
        <w:ind w:left="4822" w:hanging="360"/>
      </w:pPr>
      <w:rPr>
        <w:rFonts w:ascii="Symbol" w:hAnsi="Symbol" w:hint="default"/>
      </w:rPr>
    </w:lvl>
    <w:lvl w:ilvl="7" w:tplc="0DE6A262" w:tentative="1">
      <w:start w:val="1"/>
      <w:numFmt w:val="bullet"/>
      <w:lvlText w:val="o"/>
      <w:lvlJc w:val="left"/>
      <w:pPr>
        <w:ind w:left="5542" w:hanging="360"/>
      </w:pPr>
      <w:rPr>
        <w:rFonts w:ascii="Courier New" w:hAnsi="Courier New" w:cs="Courier New" w:hint="default"/>
      </w:rPr>
    </w:lvl>
    <w:lvl w:ilvl="8" w:tplc="0682F540" w:tentative="1">
      <w:start w:val="1"/>
      <w:numFmt w:val="bullet"/>
      <w:lvlText w:val=""/>
      <w:lvlJc w:val="left"/>
      <w:pPr>
        <w:ind w:left="6262" w:hanging="360"/>
      </w:pPr>
      <w:rPr>
        <w:rFonts w:ascii="Wingdings" w:hAnsi="Wingdings" w:hint="default"/>
      </w:rPr>
    </w:lvl>
  </w:abstractNum>
  <w:abstractNum w:abstractNumId="34" w15:restartNumberingAfterBreak="0">
    <w:nsid w:val="53DF5491"/>
    <w:multiLevelType w:val="hybridMultilevel"/>
    <w:tmpl w:val="48D2F91C"/>
    <w:lvl w:ilvl="0" w:tplc="223EE9E8">
      <w:start w:val="1"/>
      <w:numFmt w:val="bullet"/>
      <w:lvlText w:val=""/>
      <w:lvlJc w:val="left"/>
      <w:pPr>
        <w:ind w:left="502" w:hanging="360"/>
      </w:pPr>
      <w:rPr>
        <w:rFonts w:ascii="Symbol" w:hAnsi="Symbol" w:hint="default"/>
      </w:rPr>
    </w:lvl>
    <w:lvl w:ilvl="1" w:tplc="EBF6C656" w:tentative="1">
      <w:start w:val="1"/>
      <w:numFmt w:val="bullet"/>
      <w:lvlText w:val="o"/>
      <w:lvlJc w:val="left"/>
      <w:pPr>
        <w:ind w:left="1222" w:hanging="360"/>
      </w:pPr>
      <w:rPr>
        <w:rFonts w:ascii="Courier New" w:hAnsi="Courier New" w:cs="Courier New" w:hint="default"/>
      </w:rPr>
    </w:lvl>
    <w:lvl w:ilvl="2" w:tplc="725EE7CA" w:tentative="1">
      <w:start w:val="1"/>
      <w:numFmt w:val="bullet"/>
      <w:lvlText w:val=""/>
      <w:lvlJc w:val="left"/>
      <w:pPr>
        <w:ind w:left="1942" w:hanging="360"/>
      </w:pPr>
      <w:rPr>
        <w:rFonts w:ascii="Wingdings" w:hAnsi="Wingdings" w:hint="default"/>
      </w:rPr>
    </w:lvl>
    <w:lvl w:ilvl="3" w:tplc="E0583618" w:tentative="1">
      <w:start w:val="1"/>
      <w:numFmt w:val="bullet"/>
      <w:lvlText w:val=""/>
      <w:lvlJc w:val="left"/>
      <w:pPr>
        <w:ind w:left="2662" w:hanging="360"/>
      </w:pPr>
      <w:rPr>
        <w:rFonts w:ascii="Symbol" w:hAnsi="Symbol" w:hint="default"/>
      </w:rPr>
    </w:lvl>
    <w:lvl w:ilvl="4" w:tplc="816450E8" w:tentative="1">
      <w:start w:val="1"/>
      <w:numFmt w:val="bullet"/>
      <w:lvlText w:val="o"/>
      <w:lvlJc w:val="left"/>
      <w:pPr>
        <w:ind w:left="3382" w:hanging="360"/>
      </w:pPr>
      <w:rPr>
        <w:rFonts w:ascii="Courier New" w:hAnsi="Courier New" w:cs="Courier New" w:hint="default"/>
      </w:rPr>
    </w:lvl>
    <w:lvl w:ilvl="5" w:tplc="4B264A84" w:tentative="1">
      <w:start w:val="1"/>
      <w:numFmt w:val="bullet"/>
      <w:lvlText w:val=""/>
      <w:lvlJc w:val="left"/>
      <w:pPr>
        <w:ind w:left="4102" w:hanging="360"/>
      </w:pPr>
      <w:rPr>
        <w:rFonts w:ascii="Wingdings" w:hAnsi="Wingdings" w:hint="default"/>
      </w:rPr>
    </w:lvl>
    <w:lvl w:ilvl="6" w:tplc="F7E0FE64" w:tentative="1">
      <w:start w:val="1"/>
      <w:numFmt w:val="bullet"/>
      <w:lvlText w:val=""/>
      <w:lvlJc w:val="left"/>
      <w:pPr>
        <w:ind w:left="4822" w:hanging="360"/>
      </w:pPr>
      <w:rPr>
        <w:rFonts w:ascii="Symbol" w:hAnsi="Symbol" w:hint="default"/>
      </w:rPr>
    </w:lvl>
    <w:lvl w:ilvl="7" w:tplc="C6566534" w:tentative="1">
      <w:start w:val="1"/>
      <w:numFmt w:val="bullet"/>
      <w:lvlText w:val="o"/>
      <w:lvlJc w:val="left"/>
      <w:pPr>
        <w:ind w:left="5542" w:hanging="360"/>
      </w:pPr>
      <w:rPr>
        <w:rFonts w:ascii="Courier New" w:hAnsi="Courier New" w:cs="Courier New" w:hint="default"/>
      </w:rPr>
    </w:lvl>
    <w:lvl w:ilvl="8" w:tplc="1B96898A" w:tentative="1">
      <w:start w:val="1"/>
      <w:numFmt w:val="bullet"/>
      <w:lvlText w:val=""/>
      <w:lvlJc w:val="left"/>
      <w:pPr>
        <w:ind w:left="6262" w:hanging="360"/>
      </w:pPr>
      <w:rPr>
        <w:rFonts w:ascii="Wingdings" w:hAnsi="Wingdings" w:hint="default"/>
      </w:rPr>
    </w:lvl>
  </w:abstractNum>
  <w:abstractNum w:abstractNumId="35" w15:restartNumberingAfterBreak="0">
    <w:nsid w:val="564E3D0E"/>
    <w:multiLevelType w:val="hybridMultilevel"/>
    <w:tmpl w:val="EE56084A"/>
    <w:lvl w:ilvl="0" w:tplc="50A88E5E">
      <w:start w:val="1"/>
      <w:numFmt w:val="bullet"/>
      <w:lvlText w:val=""/>
      <w:lvlJc w:val="left"/>
      <w:pPr>
        <w:ind w:left="720" w:hanging="360"/>
      </w:pPr>
      <w:rPr>
        <w:rFonts w:ascii="Symbol" w:hAnsi="Symbol" w:hint="default"/>
      </w:rPr>
    </w:lvl>
    <w:lvl w:ilvl="1" w:tplc="1E8418CA" w:tentative="1">
      <w:start w:val="1"/>
      <w:numFmt w:val="bullet"/>
      <w:lvlText w:val="o"/>
      <w:lvlJc w:val="left"/>
      <w:pPr>
        <w:ind w:left="1440" w:hanging="360"/>
      </w:pPr>
      <w:rPr>
        <w:rFonts w:ascii="Courier New" w:hAnsi="Courier New" w:cs="Courier New" w:hint="default"/>
      </w:rPr>
    </w:lvl>
    <w:lvl w:ilvl="2" w:tplc="7E2C046C" w:tentative="1">
      <w:start w:val="1"/>
      <w:numFmt w:val="bullet"/>
      <w:lvlText w:val=""/>
      <w:lvlJc w:val="left"/>
      <w:pPr>
        <w:ind w:left="2160" w:hanging="360"/>
      </w:pPr>
      <w:rPr>
        <w:rFonts w:ascii="Wingdings" w:hAnsi="Wingdings" w:hint="default"/>
      </w:rPr>
    </w:lvl>
    <w:lvl w:ilvl="3" w:tplc="E856A95A" w:tentative="1">
      <w:start w:val="1"/>
      <w:numFmt w:val="bullet"/>
      <w:lvlText w:val=""/>
      <w:lvlJc w:val="left"/>
      <w:pPr>
        <w:ind w:left="2880" w:hanging="360"/>
      </w:pPr>
      <w:rPr>
        <w:rFonts w:ascii="Symbol" w:hAnsi="Symbol" w:hint="default"/>
      </w:rPr>
    </w:lvl>
    <w:lvl w:ilvl="4" w:tplc="879030AE" w:tentative="1">
      <w:start w:val="1"/>
      <w:numFmt w:val="bullet"/>
      <w:lvlText w:val="o"/>
      <w:lvlJc w:val="left"/>
      <w:pPr>
        <w:ind w:left="3600" w:hanging="360"/>
      </w:pPr>
      <w:rPr>
        <w:rFonts w:ascii="Courier New" w:hAnsi="Courier New" w:cs="Courier New" w:hint="default"/>
      </w:rPr>
    </w:lvl>
    <w:lvl w:ilvl="5" w:tplc="CA3E57F8" w:tentative="1">
      <w:start w:val="1"/>
      <w:numFmt w:val="bullet"/>
      <w:lvlText w:val=""/>
      <w:lvlJc w:val="left"/>
      <w:pPr>
        <w:ind w:left="4320" w:hanging="360"/>
      </w:pPr>
      <w:rPr>
        <w:rFonts w:ascii="Wingdings" w:hAnsi="Wingdings" w:hint="default"/>
      </w:rPr>
    </w:lvl>
    <w:lvl w:ilvl="6" w:tplc="5A6A228A" w:tentative="1">
      <w:start w:val="1"/>
      <w:numFmt w:val="bullet"/>
      <w:lvlText w:val=""/>
      <w:lvlJc w:val="left"/>
      <w:pPr>
        <w:ind w:left="5040" w:hanging="360"/>
      </w:pPr>
      <w:rPr>
        <w:rFonts w:ascii="Symbol" w:hAnsi="Symbol" w:hint="default"/>
      </w:rPr>
    </w:lvl>
    <w:lvl w:ilvl="7" w:tplc="610EBC4E" w:tentative="1">
      <w:start w:val="1"/>
      <w:numFmt w:val="bullet"/>
      <w:lvlText w:val="o"/>
      <w:lvlJc w:val="left"/>
      <w:pPr>
        <w:ind w:left="5760" w:hanging="360"/>
      </w:pPr>
      <w:rPr>
        <w:rFonts w:ascii="Courier New" w:hAnsi="Courier New" w:cs="Courier New" w:hint="default"/>
      </w:rPr>
    </w:lvl>
    <w:lvl w:ilvl="8" w:tplc="6D7457FC" w:tentative="1">
      <w:start w:val="1"/>
      <w:numFmt w:val="bullet"/>
      <w:lvlText w:val=""/>
      <w:lvlJc w:val="left"/>
      <w:pPr>
        <w:ind w:left="6480" w:hanging="360"/>
      </w:pPr>
      <w:rPr>
        <w:rFonts w:ascii="Wingdings" w:hAnsi="Wingdings" w:hint="default"/>
      </w:rPr>
    </w:lvl>
  </w:abstractNum>
  <w:abstractNum w:abstractNumId="36" w15:restartNumberingAfterBreak="0">
    <w:nsid w:val="59724625"/>
    <w:multiLevelType w:val="hybridMultilevel"/>
    <w:tmpl w:val="5DD2CC70"/>
    <w:lvl w:ilvl="0" w:tplc="ABC2C770">
      <w:start w:val="1"/>
      <w:numFmt w:val="bullet"/>
      <w:lvlText w:val="o"/>
      <w:lvlJc w:val="left"/>
      <w:pPr>
        <w:ind w:left="2160" w:hanging="360"/>
      </w:pPr>
      <w:rPr>
        <w:rFonts w:ascii="Courier New" w:hAnsi="Courier New" w:cs="Courier New" w:hint="default"/>
      </w:rPr>
    </w:lvl>
    <w:lvl w:ilvl="1" w:tplc="99B6828E" w:tentative="1">
      <w:start w:val="1"/>
      <w:numFmt w:val="bullet"/>
      <w:lvlText w:val="o"/>
      <w:lvlJc w:val="left"/>
      <w:pPr>
        <w:ind w:left="2880" w:hanging="360"/>
      </w:pPr>
      <w:rPr>
        <w:rFonts w:ascii="Courier New" w:hAnsi="Courier New" w:cs="Courier New" w:hint="default"/>
      </w:rPr>
    </w:lvl>
    <w:lvl w:ilvl="2" w:tplc="FB489EBC" w:tentative="1">
      <w:start w:val="1"/>
      <w:numFmt w:val="bullet"/>
      <w:lvlText w:val=""/>
      <w:lvlJc w:val="left"/>
      <w:pPr>
        <w:ind w:left="3600" w:hanging="360"/>
      </w:pPr>
      <w:rPr>
        <w:rFonts w:ascii="Wingdings" w:hAnsi="Wingdings" w:hint="default"/>
      </w:rPr>
    </w:lvl>
    <w:lvl w:ilvl="3" w:tplc="2BA47E10" w:tentative="1">
      <w:start w:val="1"/>
      <w:numFmt w:val="bullet"/>
      <w:lvlText w:val=""/>
      <w:lvlJc w:val="left"/>
      <w:pPr>
        <w:ind w:left="4320" w:hanging="360"/>
      </w:pPr>
      <w:rPr>
        <w:rFonts w:ascii="Symbol" w:hAnsi="Symbol" w:hint="default"/>
      </w:rPr>
    </w:lvl>
    <w:lvl w:ilvl="4" w:tplc="A04E42AA" w:tentative="1">
      <w:start w:val="1"/>
      <w:numFmt w:val="bullet"/>
      <w:lvlText w:val="o"/>
      <w:lvlJc w:val="left"/>
      <w:pPr>
        <w:ind w:left="5040" w:hanging="360"/>
      </w:pPr>
      <w:rPr>
        <w:rFonts w:ascii="Courier New" w:hAnsi="Courier New" w:cs="Courier New" w:hint="default"/>
      </w:rPr>
    </w:lvl>
    <w:lvl w:ilvl="5" w:tplc="06A4073C" w:tentative="1">
      <w:start w:val="1"/>
      <w:numFmt w:val="bullet"/>
      <w:lvlText w:val=""/>
      <w:lvlJc w:val="left"/>
      <w:pPr>
        <w:ind w:left="5760" w:hanging="360"/>
      </w:pPr>
      <w:rPr>
        <w:rFonts w:ascii="Wingdings" w:hAnsi="Wingdings" w:hint="default"/>
      </w:rPr>
    </w:lvl>
    <w:lvl w:ilvl="6" w:tplc="FF8679F6" w:tentative="1">
      <w:start w:val="1"/>
      <w:numFmt w:val="bullet"/>
      <w:lvlText w:val=""/>
      <w:lvlJc w:val="left"/>
      <w:pPr>
        <w:ind w:left="6480" w:hanging="360"/>
      </w:pPr>
      <w:rPr>
        <w:rFonts w:ascii="Symbol" w:hAnsi="Symbol" w:hint="default"/>
      </w:rPr>
    </w:lvl>
    <w:lvl w:ilvl="7" w:tplc="7142693C" w:tentative="1">
      <w:start w:val="1"/>
      <w:numFmt w:val="bullet"/>
      <w:lvlText w:val="o"/>
      <w:lvlJc w:val="left"/>
      <w:pPr>
        <w:ind w:left="7200" w:hanging="360"/>
      </w:pPr>
      <w:rPr>
        <w:rFonts w:ascii="Courier New" w:hAnsi="Courier New" w:cs="Courier New" w:hint="default"/>
      </w:rPr>
    </w:lvl>
    <w:lvl w:ilvl="8" w:tplc="9A0EB79C" w:tentative="1">
      <w:start w:val="1"/>
      <w:numFmt w:val="bullet"/>
      <w:lvlText w:val=""/>
      <w:lvlJc w:val="left"/>
      <w:pPr>
        <w:ind w:left="7920" w:hanging="360"/>
      </w:pPr>
      <w:rPr>
        <w:rFonts w:ascii="Wingdings" w:hAnsi="Wingdings" w:hint="default"/>
      </w:rPr>
    </w:lvl>
  </w:abstractNum>
  <w:abstractNum w:abstractNumId="37" w15:restartNumberingAfterBreak="0">
    <w:nsid w:val="63C374F1"/>
    <w:multiLevelType w:val="hybridMultilevel"/>
    <w:tmpl w:val="A782BDFC"/>
    <w:lvl w:ilvl="0" w:tplc="22A206C8">
      <w:start w:val="1"/>
      <w:numFmt w:val="bullet"/>
      <w:lvlText w:val=""/>
      <w:lvlJc w:val="left"/>
      <w:pPr>
        <w:ind w:left="502" w:hanging="360"/>
      </w:pPr>
      <w:rPr>
        <w:rFonts w:ascii="Symbol" w:hAnsi="Symbol" w:hint="default"/>
      </w:rPr>
    </w:lvl>
    <w:lvl w:ilvl="1" w:tplc="6E46FA1C">
      <w:numFmt w:val="bullet"/>
      <w:lvlText w:val="•"/>
      <w:lvlJc w:val="left"/>
      <w:pPr>
        <w:ind w:left="1440" w:hanging="360"/>
      </w:pPr>
      <w:rPr>
        <w:rFonts w:ascii="Arial" w:eastAsia="Calibri" w:hAnsi="Arial" w:cs="Arial" w:hint="default"/>
      </w:rPr>
    </w:lvl>
    <w:lvl w:ilvl="2" w:tplc="B672B870" w:tentative="1">
      <w:start w:val="1"/>
      <w:numFmt w:val="bullet"/>
      <w:lvlText w:val=""/>
      <w:lvlJc w:val="left"/>
      <w:pPr>
        <w:ind w:left="2160" w:hanging="360"/>
      </w:pPr>
      <w:rPr>
        <w:rFonts w:ascii="Wingdings" w:hAnsi="Wingdings" w:hint="default"/>
      </w:rPr>
    </w:lvl>
    <w:lvl w:ilvl="3" w:tplc="2C923402" w:tentative="1">
      <w:start w:val="1"/>
      <w:numFmt w:val="bullet"/>
      <w:lvlText w:val=""/>
      <w:lvlJc w:val="left"/>
      <w:pPr>
        <w:ind w:left="2880" w:hanging="360"/>
      </w:pPr>
      <w:rPr>
        <w:rFonts w:ascii="Symbol" w:hAnsi="Symbol" w:hint="default"/>
      </w:rPr>
    </w:lvl>
    <w:lvl w:ilvl="4" w:tplc="A5B82816" w:tentative="1">
      <w:start w:val="1"/>
      <w:numFmt w:val="bullet"/>
      <w:lvlText w:val="o"/>
      <w:lvlJc w:val="left"/>
      <w:pPr>
        <w:ind w:left="3600" w:hanging="360"/>
      </w:pPr>
      <w:rPr>
        <w:rFonts w:ascii="Courier New" w:hAnsi="Courier New" w:cs="Courier New" w:hint="default"/>
      </w:rPr>
    </w:lvl>
    <w:lvl w:ilvl="5" w:tplc="56A458EA" w:tentative="1">
      <w:start w:val="1"/>
      <w:numFmt w:val="bullet"/>
      <w:lvlText w:val=""/>
      <w:lvlJc w:val="left"/>
      <w:pPr>
        <w:ind w:left="4320" w:hanging="360"/>
      </w:pPr>
      <w:rPr>
        <w:rFonts w:ascii="Wingdings" w:hAnsi="Wingdings" w:hint="default"/>
      </w:rPr>
    </w:lvl>
    <w:lvl w:ilvl="6" w:tplc="5A980358" w:tentative="1">
      <w:start w:val="1"/>
      <w:numFmt w:val="bullet"/>
      <w:lvlText w:val=""/>
      <w:lvlJc w:val="left"/>
      <w:pPr>
        <w:ind w:left="5040" w:hanging="360"/>
      </w:pPr>
      <w:rPr>
        <w:rFonts w:ascii="Symbol" w:hAnsi="Symbol" w:hint="default"/>
      </w:rPr>
    </w:lvl>
    <w:lvl w:ilvl="7" w:tplc="93CA1DB8" w:tentative="1">
      <w:start w:val="1"/>
      <w:numFmt w:val="bullet"/>
      <w:lvlText w:val="o"/>
      <w:lvlJc w:val="left"/>
      <w:pPr>
        <w:ind w:left="5760" w:hanging="360"/>
      </w:pPr>
      <w:rPr>
        <w:rFonts w:ascii="Courier New" w:hAnsi="Courier New" w:cs="Courier New" w:hint="default"/>
      </w:rPr>
    </w:lvl>
    <w:lvl w:ilvl="8" w:tplc="754EAD4E" w:tentative="1">
      <w:start w:val="1"/>
      <w:numFmt w:val="bullet"/>
      <w:lvlText w:val=""/>
      <w:lvlJc w:val="left"/>
      <w:pPr>
        <w:ind w:left="6480" w:hanging="360"/>
      </w:pPr>
      <w:rPr>
        <w:rFonts w:ascii="Wingdings" w:hAnsi="Wingdings" w:hint="default"/>
      </w:rPr>
    </w:lvl>
  </w:abstractNum>
  <w:abstractNum w:abstractNumId="38" w15:restartNumberingAfterBreak="0">
    <w:nsid w:val="63F759CD"/>
    <w:multiLevelType w:val="hybridMultilevel"/>
    <w:tmpl w:val="6FF22088"/>
    <w:lvl w:ilvl="0" w:tplc="2C04EF38">
      <w:start w:val="1"/>
      <w:numFmt w:val="decimal"/>
      <w:pStyle w:val="Heading4"/>
      <w:lvlText w:val="%1."/>
      <w:lvlJc w:val="left"/>
      <w:pPr>
        <w:ind w:left="360" w:hanging="360"/>
      </w:pPr>
    </w:lvl>
    <w:lvl w:ilvl="1" w:tplc="BB34686E" w:tentative="1">
      <w:start w:val="1"/>
      <w:numFmt w:val="lowerLetter"/>
      <w:lvlText w:val="%2."/>
      <w:lvlJc w:val="left"/>
      <w:pPr>
        <w:ind w:left="1080" w:hanging="360"/>
      </w:pPr>
    </w:lvl>
    <w:lvl w:ilvl="2" w:tplc="CC544DC2" w:tentative="1">
      <w:start w:val="1"/>
      <w:numFmt w:val="lowerRoman"/>
      <w:lvlText w:val="%3."/>
      <w:lvlJc w:val="right"/>
      <w:pPr>
        <w:ind w:left="1800" w:hanging="180"/>
      </w:pPr>
    </w:lvl>
    <w:lvl w:ilvl="3" w:tplc="79BA4CFA" w:tentative="1">
      <w:start w:val="1"/>
      <w:numFmt w:val="decimal"/>
      <w:lvlText w:val="%4."/>
      <w:lvlJc w:val="left"/>
      <w:pPr>
        <w:ind w:left="2520" w:hanging="360"/>
      </w:pPr>
    </w:lvl>
    <w:lvl w:ilvl="4" w:tplc="AA306EC6" w:tentative="1">
      <w:start w:val="1"/>
      <w:numFmt w:val="lowerLetter"/>
      <w:lvlText w:val="%5."/>
      <w:lvlJc w:val="left"/>
      <w:pPr>
        <w:ind w:left="3240" w:hanging="360"/>
      </w:pPr>
    </w:lvl>
    <w:lvl w:ilvl="5" w:tplc="27B6E494" w:tentative="1">
      <w:start w:val="1"/>
      <w:numFmt w:val="lowerRoman"/>
      <w:lvlText w:val="%6."/>
      <w:lvlJc w:val="right"/>
      <w:pPr>
        <w:ind w:left="3960" w:hanging="180"/>
      </w:pPr>
    </w:lvl>
    <w:lvl w:ilvl="6" w:tplc="927C2A14" w:tentative="1">
      <w:start w:val="1"/>
      <w:numFmt w:val="decimal"/>
      <w:lvlText w:val="%7."/>
      <w:lvlJc w:val="left"/>
      <w:pPr>
        <w:ind w:left="4680" w:hanging="360"/>
      </w:pPr>
    </w:lvl>
    <w:lvl w:ilvl="7" w:tplc="C4B4DC8C" w:tentative="1">
      <w:start w:val="1"/>
      <w:numFmt w:val="lowerLetter"/>
      <w:lvlText w:val="%8."/>
      <w:lvlJc w:val="left"/>
      <w:pPr>
        <w:ind w:left="5400" w:hanging="360"/>
      </w:pPr>
    </w:lvl>
    <w:lvl w:ilvl="8" w:tplc="6102E8D6" w:tentative="1">
      <w:start w:val="1"/>
      <w:numFmt w:val="lowerRoman"/>
      <w:lvlText w:val="%9."/>
      <w:lvlJc w:val="right"/>
      <w:pPr>
        <w:ind w:left="6120" w:hanging="180"/>
      </w:pPr>
    </w:lvl>
  </w:abstractNum>
  <w:abstractNum w:abstractNumId="39" w15:restartNumberingAfterBreak="0">
    <w:nsid w:val="6BFC7B04"/>
    <w:multiLevelType w:val="hybridMultilevel"/>
    <w:tmpl w:val="C9F452C8"/>
    <w:lvl w:ilvl="0" w:tplc="D2744922">
      <w:start w:val="1"/>
      <w:numFmt w:val="decimal"/>
      <w:lvlText w:val="%1."/>
      <w:lvlJc w:val="left"/>
      <w:pPr>
        <w:ind w:left="930" w:hanging="570"/>
      </w:pPr>
      <w:rPr>
        <w:rFonts w:hint="default"/>
      </w:rPr>
    </w:lvl>
    <w:lvl w:ilvl="1" w:tplc="1374AA90">
      <w:start w:val="1"/>
      <w:numFmt w:val="lowerLetter"/>
      <w:lvlText w:val="%2."/>
      <w:lvlJc w:val="left"/>
      <w:pPr>
        <w:ind w:left="1440" w:hanging="360"/>
      </w:pPr>
    </w:lvl>
    <w:lvl w:ilvl="2" w:tplc="0BBC8FC8" w:tentative="1">
      <w:start w:val="1"/>
      <w:numFmt w:val="lowerRoman"/>
      <w:lvlText w:val="%3."/>
      <w:lvlJc w:val="right"/>
      <w:pPr>
        <w:ind w:left="2160" w:hanging="180"/>
      </w:pPr>
    </w:lvl>
    <w:lvl w:ilvl="3" w:tplc="79E23AC6" w:tentative="1">
      <w:start w:val="1"/>
      <w:numFmt w:val="decimal"/>
      <w:lvlText w:val="%4."/>
      <w:lvlJc w:val="left"/>
      <w:pPr>
        <w:ind w:left="2880" w:hanging="360"/>
      </w:pPr>
    </w:lvl>
    <w:lvl w:ilvl="4" w:tplc="4BE8951C" w:tentative="1">
      <w:start w:val="1"/>
      <w:numFmt w:val="lowerLetter"/>
      <w:lvlText w:val="%5."/>
      <w:lvlJc w:val="left"/>
      <w:pPr>
        <w:ind w:left="3600" w:hanging="360"/>
      </w:pPr>
    </w:lvl>
    <w:lvl w:ilvl="5" w:tplc="E3B8ACAA" w:tentative="1">
      <w:start w:val="1"/>
      <w:numFmt w:val="lowerRoman"/>
      <w:lvlText w:val="%6."/>
      <w:lvlJc w:val="right"/>
      <w:pPr>
        <w:ind w:left="4320" w:hanging="180"/>
      </w:pPr>
    </w:lvl>
    <w:lvl w:ilvl="6" w:tplc="612088AE" w:tentative="1">
      <w:start w:val="1"/>
      <w:numFmt w:val="decimal"/>
      <w:lvlText w:val="%7."/>
      <w:lvlJc w:val="left"/>
      <w:pPr>
        <w:ind w:left="5040" w:hanging="360"/>
      </w:pPr>
    </w:lvl>
    <w:lvl w:ilvl="7" w:tplc="06B6ADAC" w:tentative="1">
      <w:start w:val="1"/>
      <w:numFmt w:val="lowerLetter"/>
      <w:lvlText w:val="%8."/>
      <w:lvlJc w:val="left"/>
      <w:pPr>
        <w:ind w:left="5760" w:hanging="360"/>
      </w:pPr>
    </w:lvl>
    <w:lvl w:ilvl="8" w:tplc="4350BA74" w:tentative="1">
      <w:start w:val="1"/>
      <w:numFmt w:val="lowerRoman"/>
      <w:lvlText w:val="%9."/>
      <w:lvlJc w:val="right"/>
      <w:pPr>
        <w:ind w:left="6480" w:hanging="180"/>
      </w:pPr>
    </w:lvl>
  </w:abstractNum>
  <w:abstractNum w:abstractNumId="40" w15:restartNumberingAfterBreak="0">
    <w:nsid w:val="712C6B77"/>
    <w:multiLevelType w:val="hybridMultilevel"/>
    <w:tmpl w:val="808278F0"/>
    <w:lvl w:ilvl="0" w:tplc="774E71B8">
      <w:start w:val="1"/>
      <w:numFmt w:val="decimal"/>
      <w:pStyle w:val="Heading3-numbered"/>
      <w:lvlText w:val="%1."/>
      <w:lvlJc w:val="left"/>
      <w:pPr>
        <w:ind w:left="360" w:hanging="360"/>
      </w:pPr>
      <w:rPr>
        <w:b/>
        <w:i w:val="0"/>
        <w:color w:val="auto"/>
        <w:sz w:val="28"/>
        <w:szCs w:val="28"/>
      </w:rPr>
    </w:lvl>
    <w:lvl w:ilvl="1" w:tplc="2D2C6FCA" w:tentative="1">
      <w:start w:val="1"/>
      <w:numFmt w:val="lowerLetter"/>
      <w:lvlText w:val="%2."/>
      <w:lvlJc w:val="left"/>
      <w:pPr>
        <w:ind w:left="1080" w:hanging="360"/>
      </w:pPr>
    </w:lvl>
    <w:lvl w:ilvl="2" w:tplc="1A684ABC" w:tentative="1">
      <w:start w:val="1"/>
      <w:numFmt w:val="lowerRoman"/>
      <w:lvlText w:val="%3."/>
      <w:lvlJc w:val="right"/>
      <w:pPr>
        <w:ind w:left="1800" w:hanging="180"/>
      </w:pPr>
    </w:lvl>
    <w:lvl w:ilvl="3" w:tplc="7284D65E" w:tentative="1">
      <w:start w:val="1"/>
      <w:numFmt w:val="decimal"/>
      <w:lvlText w:val="%4."/>
      <w:lvlJc w:val="left"/>
      <w:pPr>
        <w:ind w:left="2520" w:hanging="360"/>
      </w:pPr>
    </w:lvl>
    <w:lvl w:ilvl="4" w:tplc="96B40F42" w:tentative="1">
      <w:start w:val="1"/>
      <w:numFmt w:val="lowerLetter"/>
      <w:lvlText w:val="%5."/>
      <w:lvlJc w:val="left"/>
      <w:pPr>
        <w:ind w:left="3240" w:hanging="360"/>
      </w:pPr>
    </w:lvl>
    <w:lvl w:ilvl="5" w:tplc="B122F73A" w:tentative="1">
      <w:start w:val="1"/>
      <w:numFmt w:val="lowerRoman"/>
      <w:lvlText w:val="%6."/>
      <w:lvlJc w:val="right"/>
      <w:pPr>
        <w:ind w:left="3960" w:hanging="180"/>
      </w:pPr>
    </w:lvl>
    <w:lvl w:ilvl="6" w:tplc="FE9A0464" w:tentative="1">
      <w:start w:val="1"/>
      <w:numFmt w:val="decimal"/>
      <w:lvlText w:val="%7."/>
      <w:lvlJc w:val="left"/>
      <w:pPr>
        <w:ind w:left="4680" w:hanging="360"/>
      </w:pPr>
    </w:lvl>
    <w:lvl w:ilvl="7" w:tplc="D5FEF5B0" w:tentative="1">
      <w:start w:val="1"/>
      <w:numFmt w:val="lowerLetter"/>
      <w:lvlText w:val="%8."/>
      <w:lvlJc w:val="left"/>
      <w:pPr>
        <w:ind w:left="5400" w:hanging="360"/>
      </w:pPr>
    </w:lvl>
    <w:lvl w:ilvl="8" w:tplc="0978B9F4" w:tentative="1">
      <w:start w:val="1"/>
      <w:numFmt w:val="lowerRoman"/>
      <w:lvlText w:val="%9."/>
      <w:lvlJc w:val="right"/>
      <w:pPr>
        <w:ind w:left="6120" w:hanging="180"/>
      </w:pPr>
    </w:lvl>
  </w:abstractNum>
  <w:abstractNum w:abstractNumId="41" w15:restartNumberingAfterBreak="0">
    <w:nsid w:val="744A0F0E"/>
    <w:multiLevelType w:val="hybridMultilevel"/>
    <w:tmpl w:val="845C436E"/>
    <w:lvl w:ilvl="0" w:tplc="C50290FA">
      <w:start w:val="1"/>
      <w:numFmt w:val="bullet"/>
      <w:lvlText w:val=""/>
      <w:lvlJc w:val="left"/>
      <w:pPr>
        <w:ind w:left="927" w:hanging="360"/>
      </w:pPr>
      <w:rPr>
        <w:rFonts w:ascii="Symbol" w:hAnsi="Symbol" w:hint="default"/>
      </w:rPr>
    </w:lvl>
    <w:lvl w:ilvl="1" w:tplc="6A68ABE8" w:tentative="1">
      <w:start w:val="1"/>
      <w:numFmt w:val="bullet"/>
      <w:lvlText w:val="o"/>
      <w:lvlJc w:val="left"/>
      <w:pPr>
        <w:ind w:left="1647" w:hanging="360"/>
      </w:pPr>
      <w:rPr>
        <w:rFonts w:ascii="Courier New" w:hAnsi="Courier New" w:cs="Courier New" w:hint="default"/>
      </w:rPr>
    </w:lvl>
    <w:lvl w:ilvl="2" w:tplc="97E83830" w:tentative="1">
      <w:start w:val="1"/>
      <w:numFmt w:val="bullet"/>
      <w:lvlText w:val=""/>
      <w:lvlJc w:val="left"/>
      <w:pPr>
        <w:ind w:left="2367" w:hanging="360"/>
      </w:pPr>
      <w:rPr>
        <w:rFonts w:ascii="Wingdings" w:hAnsi="Wingdings" w:hint="default"/>
      </w:rPr>
    </w:lvl>
    <w:lvl w:ilvl="3" w:tplc="04487674" w:tentative="1">
      <w:start w:val="1"/>
      <w:numFmt w:val="bullet"/>
      <w:lvlText w:val=""/>
      <w:lvlJc w:val="left"/>
      <w:pPr>
        <w:ind w:left="3087" w:hanging="360"/>
      </w:pPr>
      <w:rPr>
        <w:rFonts w:ascii="Symbol" w:hAnsi="Symbol" w:hint="default"/>
      </w:rPr>
    </w:lvl>
    <w:lvl w:ilvl="4" w:tplc="D87A7E74" w:tentative="1">
      <w:start w:val="1"/>
      <w:numFmt w:val="bullet"/>
      <w:lvlText w:val="o"/>
      <w:lvlJc w:val="left"/>
      <w:pPr>
        <w:ind w:left="3807" w:hanging="360"/>
      </w:pPr>
      <w:rPr>
        <w:rFonts w:ascii="Courier New" w:hAnsi="Courier New" w:cs="Courier New" w:hint="default"/>
      </w:rPr>
    </w:lvl>
    <w:lvl w:ilvl="5" w:tplc="CF941FA8" w:tentative="1">
      <w:start w:val="1"/>
      <w:numFmt w:val="bullet"/>
      <w:lvlText w:val=""/>
      <w:lvlJc w:val="left"/>
      <w:pPr>
        <w:ind w:left="4527" w:hanging="360"/>
      </w:pPr>
      <w:rPr>
        <w:rFonts w:ascii="Wingdings" w:hAnsi="Wingdings" w:hint="default"/>
      </w:rPr>
    </w:lvl>
    <w:lvl w:ilvl="6" w:tplc="E152BFA2" w:tentative="1">
      <w:start w:val="1"/>
      <w:numFmt w:val="bullet"/>
      <w:lvlText w:val=""/>
      <w:lvlJc w:val="left"/>
      <w:pPr>
        <w:ind w:left="5247" w:hanging="360"/>
      </w:pPr>
      <w:rPr>
        <w:rFonts w:ascii="Symbol" w:hAnsi="Symbol" w:hint="default"/>
      </w:rPr>
    </w:lvl>
    <w:lvl w:ilvl="7" w:tplc="556A4B44" w:tentative="1">
      <w:start w:val="1"/>
      <w:numFmt w:val="bullet"/>
      <w:lvlText w:val="o"/>
      <w:lvlJc w:val="left"/>
      <w:pPr>
        <w:ind w:left="5967" w:hanging="360"/>
      </w:pPr>
      <w:rPr>
        <w:rFonts w:ascii="Courier New" w:hAnsi="Courier New" w:cs="Courier New" w:hint="default"/>
      </w:rPr>
    </w:lvl>
    <w:lvl w:ilvl="8" w:tplc="EDA2E41E" w:tentative="1">
      <w:start w:val="1"/>
      <w:numFmt w:val="bullet"/>
      <w:lvlText w:val=""/>
      <w:lvlJc w:val="left"/>
      <w:pPr>
        <w:ind w:left="6687" w:hanging="360"/>
      </w:pPr>
      <w:rPr>
        <w:rFonts w:ascii="Wingdings" w:hAnsi="Wingdings" w:hint="default"/>
      </w:rPr>
    </w:lvl>
  </w:abstractNum>
  <w:num w:numId="1">
    <w:abstractNumId w:val="25"/>
  </w:num>
  <w:num w:numId="2">
    <w:abstractNumId w:val="30"/>
  </w:num>
  <w:num w:numId="3">
    <w:abstractNumId w:val="40"/>
  </w:num>
  <w:num w:numId="4">
    <w:abstractNumId w:val="38"/>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9"/>
  </w:num>
  <w:num w:numId="26">
    <w:abstractNumId w:val="37"/>
  </w:num>
  <w:num w:numId="27">
    <w:abstractNumId w:val="26"/>
  </w:num>
  <w:num w:numId="28">
    <w:abstractNumId w:val="32"/>
  </w:num>
  <w:num w:numId="29">
    <w:abstractNumId w:val="29"/>
  </w:num>
  <w:num w:numId="30">
    <w:abstractNumId w:val="33"/>
  </w:num>
  <w:num w:numId="31">
    <w:abstractNumId w:val="20"/>
  </w:num>
  <w:num w:numId="32">
    <w:abstractNumId w:val="35"/>
  </w:num>
  <w:num w:numId="33">
    <w:abstractNumId w:val="36"/>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2"/>
  </w:num>
  <w:num w:numId="40">
    <w:abstractNumId w:val="28"/>
  </w:num>
  <w:num w:numId="41">
    <w:abstractNumId w:val="23"/>
  </w:num>
  <w:num w:numId="42">
    <w:abstractNumId w:val="34"/>
  </w:num>
  <w:num w:numId="43">
    <w:abstractNumId w:val="24"/>
  </w:num>
  <w:num w:numId="44">
    <w:abstractNumId w:val="41"/>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0B"/>
    <w:rsid w:val="00035BEF"/>
    <w:rsid w:val="000A5B5F"/>
    <w:rsid w:val="000D69B3"/>
    <w:rsid w:val="0015230B"/>
    <w:rsid w:val="003F0C4B"/>
    <w:rsid w:val="005B1A8A"/>
    <w:rsid w:val="006D6371"/>
    <w:rsid w:val="006F01AF"/>
    <w:rsid w:val="007259AD"/>
    <w:rsid w:val="008A631F"/>
    <w:rsid w:val="008D38FE"/>
    <w:rsid w:val="00AB4589"/>
    <w:rsid w:val="00C30050"/>
    <w:rsid w:val="00C61025"/>
    <w:rsid w:val="00C94B79"/>
    <w:rsid w:val="00CB2C9E"/>
    <w:rsid w:val="00DD07ED"/>
    <w:rsid w:val="00DF6F6C"/>
    <w:rsid w:val="00E31D8C"/>
    <w:rsid w:val="00F43E0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330E"/>
  <w15:docId w15:val="{94C77351-88E5-47BA-A16D-2DE4FB57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026CB1"/>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3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8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1">
    <w:name w:val="lead1"/>
    <w:basedOn w:val="DefaultParagraphFont"/>
    <w:rsid w:val="002D0ADC"/>
    <w:rPr>
      <w:b w:val="0"/>
      <w:bCs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64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MTFS Scenario Analysis  - Cumulative Budget Gap</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Sheet1!$A$19</c:f>
              <c:strCache>
                <c:ptCount val="1"/>
                <c:pt idx="0">
                  <c:v>Scenario 1</c:v>
                </c:pt>
              </c:strCache>
            </c:strRef>
          </c:tx>
          <c:spPr>
            <a:ln w="28575" cap="rnd">
              <a:solidFill>
                <a:srgbClr val="92D050"/>
              </a:solidFill>
              <a:prstDash val="dash"/>
              <a:round/>
            </a:ln>
            <a:effectLst/>
          </c:spPr>
          <c:marker>
            <c:symbol val="none"/>
          </c:marker>
          <c:cat>
            <c:strRef>
              <c:f>Sheet1!$C$17:$F$17</c:f>
              <c:strCache>
                <c:ptCount val="4"/>
                <c:pt idx="0">
                  <c:v>2020/21                      </c:v>
                </c:pt>
                <c:pt idx="1">
                  <c:v>2021/22                    </c:v>
                </c:pt>
                <c:pt idx="2">
                  <c:v>2022/23                    </c:v>
                </c:pt>
                <c:pt idx="3">
                  <c:v>2023/24                           </c:v>
                </c:pt>
              </c:strCache>
            </c:strRef>
          </c:cat>
          <c:val>
            <c:numRef>
              <c:f>Sheet1!$C$19:$F$19</c:f>
              <c:numCache>
                <c:formatCode>0.000</c:formatCode>
                <c:ptCount val="4"/>
                <c:pt idx="0">
                  <c:v>0</c:v>
                </c:pt>
                <c:pt idx="1">
                  <c:v>52.287128215233714</c:v>
                </c:pt>
                <c:pt idx="2">
                  <c:v>66.4367728664662</c:v>
                </c:pt>
                <c:pt idx="3">
                  <c:v>85.914941866466194</c:v>
                </c:pt>
              </c:numCache>
            </c:numRef>
          </c:val>
          <c:smooth val="0"/>
          <c:extLst>
            <c:ext xmlns:c16="http://schemas.microsoft.com/office/drawing/2014/chart" uri="{C3380CC4-5D6E-409C-BE32-E72D297353CC}">
              <c16:uniqueId val="{00000000-BE25-460B-A0A6-C181BC4099E6}"/>
            </c:ext>
          </c:extLst>
        </c:ser>
        <c:ser>
          <c:idx val="1"/>
          <c:order val="1"/>
          <c:tx>
            <c:strRef>
              <c:f>Sheet1!$A$20</c:f>
              <c:strCache>
                <c:ptCount val="1"/>
                <c:pt idx="0">
                  <c:v>Scenario 2</c:v>
                </c:pt>
              </c:strCache>
            </c:strRef>
          </c:tx>
          <c:spPr>
            <a:ln w="28575" cap="rnd">
              <a:solidFill>
                <a:srgbClr val="7030A0"/>
              </a:solidFill>
              <a:round/>
            </a:ln>
            <a:effectLst/>
          </c:spPr>
          <c:marker>
            <c:symbol val="none"/>
          </c:marker>
          <c:cat>
            <c:strRef>
              <c:f>Sheet1!$C$17:$F$17</c:f>
              <c:strCache>
                <c:ptCount val="4"/>
                <c:pt idx="0">
                  <c:v>2020/21                      </c:v>
                </c:pt>
                <c:pt idx="1">
                  <c:v>2021/22                    </c:v>
                </c:pt>
                <c:pt idx="2">
                  <c:v>2022/23                    </c:v>
                </c:pt>
                <c:pt idx="3">
                  <c:v>2023/24                           </c:v>
                </c:pt>
              </c:strCache>
            </c:strRef>
          </c:cat>
          <c:val>
            <c:numRef>
              <c:f>Sheet1!$C$20:$F$20</c:f>
              <c:numCache>
                <c:formatCode>0.000</c:formatCode>
                <c:ptCount val="4"/>
                <c:pt idx="0">
                  <c:v>0</c:v>
                </c:pt>
                <c:pt idx="1">
                  <c:v>41.664128215233703</c:v>
                </c:pt>
                <c:pt idx="2">
                  <c:v>44.18177286646619</c:v>
                </c:pt>
                <c:pt idx="3">
                  <c:v>50.948941866466193</c:v>
                </c:pt>
              </c:numCache>
            </c:numRef>
          </c:val>
          <c:smooth val="0"/>
          <c:extLst>
            <c:ext xmlns:c16="http://schemas.microsoft.com/office/drawing/2014/chart" uri="{C3380CC4-5D6E-409C-BE32-E72D297353CC}">
              <c16:uniqueId val="{00000001-BE25-460B-A0A6-C181BC4099E6}"/>
            </c:ext>
          </c:extLst>
        </c:ser>
        <c:ser>
          <c:idx val="2"/>
          <c:order val="2"/>
          <c:tx>
            <c:strRef>
              <c:f>Sheet1!$A$21</c:f>
              <c:strCache>
                <c:ptCount val="1"/>
                <c:pt idx="0">
                  <c:v>Scenario 3</c:v>
                </c:pt>
              </c:strCache>
            </c:strRef>
          </c:tx>
          <c:spPr>
            <a:ln w="28575" cap="rnd">
              <a:solidFill>
                <a:schemeClr val="accent3"/>
              </a:solidFill>
              <a:round/>
            </a:ln>
            <a:effectLst/>
          </c:spPr>
          <c:marker>
            <c:symbol val="none"/>
          </c:marker>
          <c:cat>
            <c:strRef>
              <c:f>Sheet1!$C$17:$F$17</c:f>
              <c:strCache>
                <c:ptCount val="4"/>
                <c:pt idx="0">
                  <c:v>2020/21                      </c:v>
                </c:pt>
                <c:pt idx="1">
                  <c:v>2021/22                    </c:v>
                </c:pt>
                <c:pt idx="2">
                  <c:v>2022/23                    </c:v>
                </c:pt>
                <c:pt idx="3">
                  <c:v>2023/24                           </c:v>
                </c:pt>
              </c:strCache>
            </c:strRef>
          </c:cat>
          <c:val>
            <c:numRef>
              <c:f>Sheet1!$C$21:$F$21</c:f>
              <c:numCache>
                <c:formatCode>0.000</c:formatCode>
                <c:ptCount val="4"/>
                <c:pt idx="0">
                  <c:v>0</c:v>
                </c:pt>
                <c:pt idx="1">
                  <c:v>28.29754021523371</c:v>
                </c:pt>
                <c:pt idx="2">
                  <c:v>42.447184866466188</c:v>
                </c:pt>
                <c:pt idx="3">
                  <c:v>61.924353866466191</c:v>
                </c:pt>
              </c:numCache>
            </c:numRef>
          </c:val>
          <c:smooth val="0"/>
          <c:extLst>
            <c:ext xmlns:c16="http://schemas.microsoft.com/office/drawing/2014/chart" uri="{C3380CC4-5D6E-409C-BE32-E72D297353CC}">
              <c16:uniqueId val="{00000002-BE25-460B-A0A6-C181BC4099E6}"/>
            </c:ext>
          </c:extLst>
        </c:ser>
        <c:ser>
          <c:idx val="3"/>
          <c:order val="3"/>
          <c:tx>
            <c:strRef>
              <c:f>Sheet1!$A$22</c:f>
              <c:strCache>
                <c:ptCount val="1"/>
                <c:pt idx="0">
                  <c:v>Scenario 4</c:v>
                </c:pt>
              </c:strCache>
            </c:strRef>
          </c:tx>
          <c:spPr>
            <a:ln w="28575" cap="rnd">
              <a:solidFill>
                <a:schemeClr val="accent4"/>
              </a:solidFill>
              <a:round/>
            </a:ln>
            <a:effectLst/>
          </c:spPr>
          <c:marker>
            <c:symbol val="none"/>
          </c:marker>
          <c:cat>
            <c:strRef>
              <c:f>Sheet1!$C$17:$F$17</c:f>
              <c:strCache>
                <c:ptCount val="4"/>
                <c:pt idx="0">
                  <c:v>2020/21                      </c:v>
                </c:pt>
                <c:pt idx="1">
                  <c:v>2021/22                    </c:v>
                </c:pt>
                <c:pt idx="2">
                  <c:v>2022/23                    </c:v>
                </c:pt>
                <c:pt idx="3">
                  <c:v>2023/24                           </c:v>
                </c:pt>
              </c:strCache>
            </c:strRef>
          </c:cat>
          <c:val>
            <c:numRef>
              <c:f>Sheet1!$C$22:$F$22</c:f>
              <c:numCache>
                <c:formatCode>0.000</c:formatCode>
                <c:ptCount val="4"/>
                <c:pt idx="0">
                  <c:v>0</c:v>
                </c:pt>
                <c:pt idx="1">
                  <c:v>18.801128215233714</c:v>
                </c:pt>
                <c:pt idx="2">
                  <c:v>32.950772866466195</c:v>
                </c:pt>
                <c:pt idx="3">
                  <c:v>52.428941866466197</c:v>
                </c:pt>
              </c:numCache>
            </c:numRef>
          </c:val>
          <c:smooth val="0"/>
          <c:extLst>
            <c:ext xmlns:c16="http://schemas.microsoft.com/office/drawing/2014/chart" uri="{C3380CC4-5D6E-409C-BE32-E72D297353CC}">
              <c16:uniqueId val="{00000003-BE25-460B-A0A6-C181BC4099E6}"/>
            </c:ext>
          </c:extLst>
        </c:ser>
        <c:ser>
          <c:idx val="4"/>
          <c:order val="4"/>
          <c:tx>
            <c:strRef>
              <c:f>Sheet1!$A$23</c:f>
              <c:strCache>
                <c:ptCount val="1"/>
                <c:pt idx="0">
                  <c:v>Scenario 5</c:v>
                </c:pt>
              </c:strCache>
            </c:strRef>
          </c:tx>
          <c:spPr>
            <a:ln w="28575" cap="rnd">
              <a:solidFill>
                <a:schemeClr val="accent5"/>
              </a:solidFill>
              <a:round/>
            </a:ln>
            <a:effectLst/>
          </c:spPr>
          <c:marker>
            <c:symbol val="none"/>
          </c:marker>
          <c:cat>
            <c:strRef>
              <c:f>Sheet1!$C$17:$F$17</c:f>
              <c:strCache>
                <c:ptCount val="4"/>
                <c:pt idx="0">
                  <c:v>2020/21                      </c:v>
                </c:pt>
                <c:pt idx="1">
                  <c:v>2021/22                    </c:v>
                </c:pt>
                <c:pt idx="2">
                  <c:v>2022/23                    </c:v>
                </c:pt>
                <c:pt idx="3">
                  <c:v>2023/24                           </c:v>
                </c:pt>
              </c:strCache>
            </c:strRef>
          </c:cat>
          <c:val>
            <c:numRef>
              <c:f>Sheet1!$C$23:$F$23</c:f>
              <c:numCache>
                <c:formatCode>0.000</c:formatCode>
                <c:ptCount val="4"/>
                <c:pt idx="0">
                  <c:v>5.0229999999999997</c:v>
                </c:pt>
                <c:pt idx="1">
                  <c:v>53.836821681543938</c:v>
                </c:pt>
                <c:pt idx="2">
                  <c:v>62.474466332776416</c:v>
                </c:pt>
                <c:pt idx="3">
                  <c:v>75.97263533277642</c:v>
                </c:pt>
              </c:numCache>
            </c:numRef>
          </c:val>
          <c:smooth val="0"/>
          <c:extLst>
            <c:ext xmlns:c16="http://schemas.microsoft.com/office/drawing/2014/chart" uri="{C3380CC4-5D6E-409C-BE32-E72D297353CC}">
              <c16:uniqueId val="{00000004-BE25-460B-A0A6-C181BC4099E6}"/>
            </c:ext>
          </c:extLst>
        </c:ser>
        <c:ser>
          <c:idx val="5"/>
          <c:order val="5"/>
          <c:tx>
            <c:strRef>
              <c:f>Sheet1!$A$24</c:f>
              <c:strCache>
                <c:ptCount val="1"/>
                <c:pt idx="0">
                  <c:v>Scenario 6</c:v>
                </c:pt>
              </c:strCache>
            </c:strRef>
          </c:tx>
          <c:spPr>
            <a:ln w="28575" cap="rnd">
              <a:solidFill>
                <a:srgbClr val="FFFF00"/>
              </a:solidFill>
              <a:round/>
            </a:ln>
            <a:effectLst/>
          </c:spPr>
          <c:marker>
            <c:symbol val="none"/>
          </c:marker>
          <c:cat>
            <c:strRef>
              <c:f>Sheet1!$C$17:$F$17</c:f>
              <c:strCache>
                <c:ptCount val="4"/>
                <c:pt idx="0">
                  <c:v>2020/21                      </c:v>
                </c:pt>
                <c:pt idx="1">
                  <c:v>2021/22                    </c:v>
                </c:pt>
                <c:pt idx="2">
                  <c:v>2022/23                    </c:v>
                </c:pt>
                <c:pt idx="3">
                  <c:v>2023/24                           </c:v>
                </c:pt>
              </c:strCache>
            </c:strRef>
          </c:cat>
          <c:val>
            <c:numRef>
              <c:f>Sheet1!$C$24:$F$24</c:f>
              <c:numCache>
                <c:formatCode>0.000</c:formatCode>
                <c:ptCount val="4"/>
                <c:pt idx="0">
                  <c:v>0</c:v>
                </c:pt>
                <c:pt idx="1">
                  <c:v>-15.813459784766291</c:v>
                </c:pt>
                <c:pt idx="2">
                  <c:v>-13.294815133533808</c:v>
                </c:pt>
                <c:pt idx="3">
                  <c:v>-6.5296461335338059</c:v>
                </c:pt>
              </c:numCache>
            </c:numRef>
          </c:val>
          <c:smooth val="0"/>
          <c:extLst>
            <c:ext xmlns:c16="http://schemas.microsoft.com/office/drawing/2014/chart" uri="{C3380CC4-5D6E-409C-BE32-E72D297353CC}">
              <c16:uniqueId val="{00000005-BE25-460B-A0A6-C181BC4099E6}"/>
            </c:ext>
          </c:extLst>
        </c:ser>
        <c:ser>
          <c:idx val="6"/>
          <c:order val="6"/>
          <c:tx>
            <c:strRef>
              <c:f>Sheet1!$A$25</c:f>
              <c:strCache>
                <c:ptCount val="1"/>
                <c:pt idx="0">
                  <c:v>Scenario 7</c:v>
                </c:pt>
              </c:strCache>
            </c:strRef>
          </c:tx>
          <c:spPr>
            <a:ln w="28575" cap="rnd">
              <a:solidFill>
                <a:schemeClr val="accent1">
                  <a:lumMod val="60000"/>
                </a:schemeClr>
              </a:solidFill>
              <a:round/>
            </a:ln>
            <a:effectLst/>
          </c:spPr>
          <c:marker>
            <c:symbol val="none"/>
          </c:marker>
          <c:cat>
            <c:strRef>
              <c:f>Sheet1!$C$17:$F$17</c:f>
              <c:strCache>
                <c:ptCount val="4"/>
                <c:pt idx="0">
                  <c:v>2020/21                      </c:v>
                </c:pt>
                <c:pt idx="1">
                  <c:v>2021/22                    </c:v>
                </c:pt>
                <c:pt idx="2">
                  <c:v>2022/23                    </c:v>
                </c:pt>
                <c:pt idx="3">
                  <c:v>2023/24                           </c:v>
                </c:pt>
              </c:strCache>
            </c:strRef>
          </c:cat>
          <c:val>
            <c:numRef>
              <c:f>Sheet1!$C$25:$F$25</c:f>
              <c:numCache>
                <c:formatCode>0.000</c:formatCode>
                <c:ptCount val="4"/>
                <c:pt idx="0">
                  <c:v>0</c:v>
                </c:pt>
                <c:pt idx="1">
                  <c:v>-5.188459784766291</c:v>
                </c:pt>
                <c:pt idx="2">
                  <c:v>8.9611848664661906</c:v>
                </c:pt>
                <c:pt idx="3">
                  <c:v>28.438353866466194</c:v>
                </c:pt>
              </c:numCache>
            </c:numRef>
          </c:val>
          <c:smooth val="0"/>
          <c:extLst>
            <c:ext xmlns:c16="http://schemas.microsoft.com/office/drawing/2014/chart" uri="{C3380CC4-5D6E-409C-BE32-E72D297353CC}">
              <c16:uniqueId val="{00000006-BE25-460B-A0A6-C181BC4099E6}"/>
            </c:ext>
          </c:extLst>
        </c:ser>
        <c:ser>
          <c:idx val="7"/>
          <c:order val="7"/>
          <c:tx>
            <c:strRef>
              <c:f>Sheet1!$A$26</c:f>
              <c:strCache>
                <c:ptCount val="1"/>
                <c:pt idx="0">
                  <c:v>Scenario 8</c:v>
                </c:pt>
              </c:strCache>
            </c:strRef>
          </c:tx>
          <c:spPr>
            <a:ln w="28575" cap="rnd">
              <a:solidFill>
                <a:srgbClr val="FF0066"/>
              </a:solidFill>
              <a:round/>
            </a:ln>
            <a:effectLst/>
          </c:spPr>
          <c:marker>
            <c:symbol val="none"/>
          </c:marker>
          <c:cat>
            <c:strRef>
              <c:f>Sheet1!$C$17:$F$17</c:f>
              <c:strCache>
                <c:ptCount val="4"/>
                <c:pt idx="0">
                  <c:v>2020/21                      </c:v>
                </c:pt>
                <c:pt idx="1">
                  <c:v>2021/22                    </c:v>
                </c:pt>
                <c:pt idx="2">
                  <c:v>2022/23                    </c:v>
                </c:pt>
                <c:pt idx="3">
                  <c:v>2023/24                           </c:v>
                </c:pt>
              </c:strCache>
            </c:strRef>
          </c:cat>
          <c:val>
            <c:numRef>
              <c:f>Sheet1!$C$26:$F$26</c:f>
              <c:numCache>
                <c:formatCode>0.000</c:formatCode>
                <c:ptCount val="4"/>
                <c:pt idx="0">
                  <c:v>0</c:v>
                </c:pt>
                <c:pt idx="1">
                  <c:v>8.1771282152337115</c:v>
                </c:pt>
                <c:pt idx="2">
                  <c:v>10.694772866466195</c:v>
                </c:pt>
                <c:pt idx="3">
                  <c:v>17.460941866466197</c:v>
                </c:pt>
              </c:numCache>
            </c:numRef>
          </c:val>
          <c:smooth val="0"/>
          <c:extLst>
            <c:ext xmlns:c16="http://schemas.microsoft.com/office/drawing/2014/chart" uri="{C3380CC4-5D6E-409C-BE32-E72D297353CC}">
              <c16:uniqueId val="{00000007-BE25-460B-A0A6-C181BC4099E6}"/>
            </c:ext>
          </c:extLst>
        </c:ser>
        <c:ser>
          <c:idx val="8"/>
          <c:order val="8"/>
          <c:tx>
            <c:strRef>
              <c:f>Sheet1!$A$27</c:f>
              <c:strCache>
                <c:ptCount val="1"/>
                <c:pt idx="0">
                  <c:v>Scenario 9</c:v>
                </c:pt>
              </c:strCache>
            </c:strRef>
          </c:tx>
          <c:spPr>
            <a:ln w="28575" cap="rnd">
              <a:solidFill>
                <a:schemeClr val="accent3">
                  <a:lumMod val="60000"/>
                </a:schemeClr>
              </a:solidFill>
              <a:round/>
            </a:ln>
            <a:effectLst/>
          </c:spPr>
          <c:marker>
            <c:symbol val="none"/>
          </c:marker>
          <c:cat>
            <c:strRef>
              <c:f>Sheet1!$C$17:$F$17</c:f>
              <c:strCache>
                <c:ptCount val="4"/>
                <c:pt idx="0">
                  <c:v>2020/21                      </c:v>
                </c:pt>
                <c:pt idx="1">
                  <c:v>2021/22                    </c:v>
                </c:pt>
                <c:pt idx="2">
                  <c:v>2022/23                    </c:v>
                </c:pt>
                <c:pt idx="3">
                  <c:v>2023/24                           </c:v>
                </c:pt>
              </c:strCache>
            </c:strRef>
          </c:cat>
          <c:val>
            <c:numRef>
              <c:f>Sheet1!$C$27:$F$27</c:f>
              <c:numCache>
                <c:formatCode>0.000</c:formatCode>
                <c:ptCount val="4"/>
                <c:pt idx="0">
                  <c:v>0</c:v>
                </c:pt>
                <c:pt idx="1">
                  <c:v>17.673540215233707</c:v>
                </c:pt>
                <c:pt idx="2">
                  <c:v>20.191184866466191</c:v>
                </c:pt>
                <c:pt idx="3">
                  <c:v>26.957353866466192</c:v>
                </c:pt>
              </c:numCache>
            </c:numRef>
          </c:val>
          <c:smooth val="0"/>
          <c:extLst>
            <c:ext xmlns:c16="http://schemas.microsoft.com/office/drawing/2014/chart" uri="{C3380CC4-5D6E-409C-BE32-E72D297353CC}">
              <c16:uniqueId val="{00000008-BE25-460B-A0A6-C181BC4099E6}"/>
            </c:ext>
          </c:extLst>
        </c:ser>
        <c:dLbls>
          <c:showLegendKey val="0"/>
          <c:showVal val="0"/>
          <c:showCatName val="0"/>
          <c:showSerName val="0"/>
          <c:showPercent val="0"/>
          <c:showBubbleSize val="0"/>
        </c:dLbls>
        <c:smooth val="0"/>
        <c:axId val="567152216"/>
        <c:axId val="567157792"/>
      </c:lineChart>
      <c:catAx>
        <c:axId val="567152216"/>
        <c:scaling>
          <c:orientation val="minMax"/>
        </c:scaling>
        <c:delete val="0"/>
        <c:axPos val="b"/>
        <c:title>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157792"/>
        <c:crossesAt val="0"/>
        <c:auto val="1"/>
        <c:lblAlgn val="ctr"/>
        <c:lblOffset val="100"/>
        <c:noMultiLvlLbl val="0"/>
      </c:catAx>
      <c:valAx>
        <c:axId val="567157792"/>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152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9148-EA22-41FE-9A7D-572188D6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820</TotalTime>
  <Pages>18</Pages>
  <Words>4628</Words>
  <Characters>26381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Gorman, Dave</cp:lastModifiedBy>
  <cp:revision>53</cp:revision>
  <cp:lastPrinted>2020-01-02T11:49:00Z</cp:lastPrinted>
  <dcterms:created xsi:type="dcterms:W3CDTF">2019-12-16T15:39:00Z</dcterms:created>
  <dcterms:modified xsi:type="dcterms:W3CDTF">2020-01-07T10:08:00Z</dcterms:modified>
</cp:coreProperties>
</file>